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</w:rPr>
      </w:pPr>
      <w:r>
        <w:rPr>
          <w:b/>
        </w:rPr>
        <w:t>FREEDOM MORTGAGE</w:t>
        <w:tab/>
        <w:tab/>
        <w:t>§</w:t>
        <w:tab/>
        <w:tab/>
        <w:t>IN THE COUNTY COURT</w:t>
      </w:r>
    </w:p>
    <w:p>
      <w:pPr>
        <w:pStyle w:val="normal1"/>
        <w:rPr>
          <w:b/>
        </w:rPr>
      </w:pPr>
      <w:r>
        <w:rPr>
          <w:b/>
        </w:rPr>
        <w:t>CORPORATION, its successors</w:t>
        <w:tab/>
        <w:t>§</w:t>
        <w:tab/>
        <w:tab/>
      </w:r>
    </w:p>
    <w:p>
      <w:pPr>
        <w:pStyle w:val="normal1"/>
        <w:rPr>
          <w:b/>
        </w:rPr>
      </w:pPr>
      <w:r>
        <w:rPr>
          <w:b/>
        </w:rPr>
        <w:t>and/or assigns;</w:t>
        <w:tab/>
        <w:tab/>
        <w:tab/>
        <w:t>§</w:t>
        <w:tab/>
        <w:tab/>
        <w:t>OF MIDLAND COUNTY</w:t>
      </w:r>
    </w:p>
    <w:p>
      <w:pPr>
        <w:pStyle w:val="normal1"/>
        <w:rPr>
          <w:b/>
        </w:rPr>
      </w:pPr>
      <w:r>
        <w:rPr>
          <w:b/>
        </w:rPr>
        <w:tab/>
        <w:tab/>
        <w:tab/>
        <w:tab/>
        <w:tab/>
        <w:t>§</w:t>
      </w:r>
    </w:p>
    <w:p>
      <w:pPr>
        <w:pStyle w:val="normal1"/>
        <w:ind w:hanging="0"/>
        <w:rPr>
          <w:b/>
        </w:rPr>
      </w:pPr>
      <w:r>
        <w:rPr>
          <w:b/>
        </w:rPr>
        <w:t xml:space="preserve">          </w:t>
      </w:r>
      <w:r>
        <w:rPr>
          <w:b/>
        </w:rPr>
        <w:t xml:space="preserve">Original-Case </w:t>
      </w:r>
      <w:r>
        <w:rPr>
          <w:b/>
        </w:rPr>
        <w:t>Plaintiff</w:t>
      </w:r>
      <w:r>
        <w:rPr>
          <w:b/>
        </w:rPr>
        <w:t>s</w:t>
      </w:r>
      <w:r>
        <w:rPr>
          <w:b/>
        </w:rPr>
        <w:t>,</w:t>
        <w:tab/>
        <w:t>§</w:t>
        <w:tab/>
        <w:tab/>
        <w:t>COUNTY COURT AT LAW NO. 2</w:t>
      </w:r>
    </w:p>
    <w:p>
      <w:pPr>
        <w:pStyle w:val="normal1"/>
        <w:rPr>
          <w:b/>
        </w:rPr>
      </w:pPr>
      <w:r>
        <w:rPr>
          <w:b/>
        </w:rPr>
        <w:tab/>
        <w:tab/>
        <w:t>V</w:t>
        <w:tab/>
        <w:tab/>
        <w:tab/>
        <w:t>§</w:t>
      </w:r>
    </w:p>
    <w:p>
      <w:pPr>
        <w:pStyle w:val="normal1"/>
        <w:rPr>
          <w:b/>
        </w:rPr>
      </w:pPr>
      <w:r>
        <w:rPr>
          <w:b/>
        </w:rPr>
        <w:tab/>
        <w:tab/>
        <w:tab/>
        <w:tab/>
        <w:tab/>
        <w:t>§</w:t>
        <w:tab/>
        <w:tab/>
        <w:t>CAUSE NO. CV35685</w:t>
      </w:r>
    </w:p>
    <w:p>
      <w:pPr>
        <w:pStyle w:val="normal1"/>
        <w:rPr>
          <w:b/>
        </w:rPr>
      </w:pPr>
      <w:r>
        <w:rPr>
          <w:b/>
        </w:rPr>
        <w:t>Christine M Huddleston</w:t>
        <w:tab/>
        <w:tab/>
        <w:t>§</w:t>
        <w:tab/>
        <w:tab/>
        <w:t>CAUSE NO. EV2240117</w:t>
      </w:r>
    </w:p>
    <w:p>
      <w:pPr>
        <w:pStyle w:val="normal1"/>
        <w:rPr>
          <w:b/>
        </w:rPr>
      </w:pPr>
      <w:r>
        <w:rPr>
          <w:b/>
        </w:rPr>
        <w:t>Michael Moore, and all other</w:t>
        <w:tab/>
        <w:t>§</w:t>
        <w:tab/>
        <w:tab/>
        <w:t>CAUSE NO. CV29882</w:t>
      </w:r>
    </w:p>
    <w:p>
      <w:pPr>
        <w:pStyle w:val="normal1"/>
        <w:rPr>
          <w:b/>
        </w:rPr>
      </w:pPr>
      <w:r>
        <w:rPr>
          <w:b/>
        </w:rPr>
        <w:t xml:space="preserve">Occupants of 1001 S County </w:t>
        <w:tab/>
        <w:t>§</w:t>
        <w:tab/>
        <w:tab/>
        <w:t>CAUSE NO. CV51464</w:t>
      </w:r>
    </w:p>
    <w:p>
      <w:pPr>
        <w:pStyle w:val="normal1"/>
        <w:rPr>
          <w:b/>
        </w:rPr>
      </w:pPr>
      <w:r>
        <w:rPr>
          <w:b/>
        </w:rPr>
        <w:t>RD 1060, Midland, T</w:t>
      </w:r>
      <w:r>
        <w:rPr>
          <w:b/>
        </w:rPr>
        <w:t>exas</w:t>
      </w:r>
      <w:r>
        <w:rPr>
          <w:b/>
        </w:rPr>
        <w:t xml:space="preserve"> </w:t>
      </w:r>
      <w:r>
        <w:rPr>
          <w:b/>
        </w:rPr>
        <w:t>[</w:t>
      </w:r>
      <w:r>
        <w:rPr>
          <w:b/>
        </w:rPr>
        <w:t>79706</w:t>
      </w:r>
      <w:r>
        <w:rPr>
          <w:b/>
        </w:rPr>
        <w:t>]</w:t>
      </w:r>
      <w:r>
        <w:rPr>
          <w:b/>
        </w:rPr>
        <w:tab/>
        <w:t>§</w:t>
      </w:r>
    </w:p>
    <w:p>
      <w:pPr>
        <w:pStyle w:val="normal1"/>
        <w:rPr>
          <w:b/>
        </w:rPr>
      </w:pPr>
      <w:r>
        <w:rPr>
          <w:b/>
        </w:rPr>
        <w:tab/>
        <w:tab/>
        <w:tab/>
        <w:tab/>
        <w:tab/>
        <w:t>§</w:t>
      </w:r>
    </w:p>
    <w:p>
      <w:pPr>
        <w:pStyle w:val="normal1"/>
        <w:rPr>
          <w:b/>
        </w:rPr>
      </w:pPr>
      <w:r>
        <w:rPr>
          <w:b/>
        </w:rPr>
        <w:tab/>
      </w:r>
      <w:r>
        <w:rPr>
          <w:b/>
        </w:rPr>
        <w:t xml:space="preserve">Original-Case </w:t>
      </w:r>
      <w:r>
        <w:rPr>
          <w:b/>
        </w:rPr>
        <w:t>Defendants</w:t>
        <w:tab/>
        <w:t>§</w:t>
      </w:r>
    </w:p>
    <w:p>
      <w:pPr>
        <w:pStyle w:val="normal1"/>
        <w:rPr>
          <w:b/>
        </w:rPr>
      </w:pPr>
      <w:r>
        <w:rPr>
          <w:b/>
        </w:rPr>
        <w:tab/>
        <w:tab/>
        <w:tab/>
        <w:tab/>
        <w:tab/>
        <w:t>§</w:t>
      </w:r>
    </w:p>
    <w:p>
      <w:pPr>
        <w:pStyle w:val="normal1"/>
        <w:rPr>
          <w:b/>
        </w:rPr>
      </w:pPr>
      <w:r>
        <w:rPr>
          <w:b/>
        </w:rPr>
        <w:t>_________________________________________________________________________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</w:r>
      <w:r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 xml:space="preserve">otice </w:t>
      </w:r>
      <w:r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f</w:t>
      </w:r>
      <w:r>
        <w:rPr>
          <w:b/>
          <w:sz w:val="24"/>
          <w:szCs w:val="24"/>
          <w:u w:val="single"/>
        </w:rPr>
        <w:t xml:space="preserve"> A</w:t>
      </w:r>
      <w:r>
        <w:rPr>
          <w:b/>
          <w:sz w:val="24"/>
          <w:szCs w:val="24"/>
          <w:u w:val="single"/>
        </w:rPr>
        <w:t>ppeal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>
      <w:pPr>
        <w:pStyle w:val="normal1"/>
        <w:rPr/>
      </w:pPr>
      <w:r>
        <w:rPr/>
        <w:br/>
        <w:tab/>
        <w:t xml:space="preserve">We </w:t>
      </w:r>
      <w:r>
        <w:rPr/>
        <w:t xml:space="preserve">original-case </w:t>
      </w:r>
      <w:r>
        <w:rPr/>
        <w:t xml:space="preserve">defendants </w:t>
      </w:r>
      <w:r>
        <w:rPr/>
        <w:t xml:space="preserve">here-by </w:t>
      </w:r>
      <w:r>
        <w:rPr/>
        <w:t>submit this ‘</w:t>
      </w:r>
      <w:r>
        <w:rPr/>
        <w:t>N</w:t>
      </w:r>
      <w:r>
        <w:rPr/>
        <w:t xml:space="preserve">otice of </w:t>
      </w:r>
      <w:r>
        <w:rPr/>
        <w:t>A</w:t>
      </w:r>
      <w:r>
        <w:rPr/>
        <w:t xml:space="preserve">ppeal’ </w:t>
      </w:r>
      <w:r>
        <w:rPr/>
        <w:t xml:space="preserve">document </w:t>
      </w:r>
      <w:r>
        <w:rPr/>
        <w:t>to th</w:t>
      </w:r>
      <w:r>
        <w:rPr/>
        <w:t>is</w:t>
      </w:r>
      <w:r>
        <w:rPr/>
        <w:t xml:space="preserve"> </w:t>
      </w:r>
      <w:r>
        <w:rPr/>
        <w:t>County C</w:t>
      </w:r>
      <w:r>
        <w:rPr/>
        <w:t>ourt-</w:t>
      </w:r>
      <w:r>
        <w:rPr/>
        <w:t>At-Law</w:t>
      </w:r>
      <w:r>
        <w:rPr/>
        <w:t xml:space="preserve">.  </w:t>
        <w:br/>
        <w:tab/>
      </w:r>
      <w:r>
        <w:rPr/>
        <w:t>B</w:t>
      </w:r>
      <w:r>
        <w:rPr/>
        <w:t xml:space="preserve">ased </w:t>
      </w:r>
      <w:r>
        <w:rPr/>
        <w:t>here-</w:t>
      </w:r>
      <w:r>
        <w:rPr/>
        <w:t xml:space="preserve">on; </w:t>
      </w:r>
      <w:r>
        <w:rPr/>
        <w:t>w</w:t>
      </w:r>
      <w:r>
        <w:rPr/>
        <w:t xml:space="preserve">e pray to </w:t>
      </w:r>
      <w:r>
        <w:rPr/>
        <w:t xml:space="preserve">the True </w:t>
      </w:r>
      <w:r>
        <w:rPr/>
        <w:t xml:space="preserve">God </w:t>
      </w:r>
      <w:r>
        <w:rPr/>
        <w:t xml:space="preserve">of Israel, </w:t>
      </w:r>
      <w:r>
        <w:rPr/>
        <w:t>above, that, th</w:t>
      </w:r>
      <w:r>
        <w:rPr/>
        <w:t>is</w:t>
      </w:r>
      <w:r>
        <w:rPr/>
        <w:t xml:space="preserve"> Court w</w:t>
      </w:r>
      <w:r>
        <w:rPr/>
        <w:t>i</w:t>
      </w:r>
      <w:r>
        <w:rPr/>
        <w:t>l</w:t>
      </w:r>
      <w:r>
        <w:rPr/>
        <w:t>l</w:t>
      </w:r>
      <w:r>
        <w:rPr/>
        <w:t xml:space="preserve"> </w:t>
      </w:r>
      <w:r>
        <w:rPr/>
        <w:t xml:space="preserve">become inspired to Stay it’s ‘Writ of Possession’ </w:t>
      </w:r>
      <w:r>
        <w:rPr/>
        <w:t xml:space="preserve">document &amp; </w:t>
      </w:r>
      <w:r>
        <w:rPr/>
        <w:t xml:space="preserve">actions against us, </w:t>
      </w:r>
      <w:r>
        <w:rPr/>
        <w:t>both of which are presently designed to direct the County Sheriff to Forcibly Evict us from our home of many years.</w:t>
        <w:br/>
        <w:br/>
        <w:tab/>
      </w:r>
      <w:r>
        <w:rPr/>
        <w:t xml:space="preserve">We believe this Court Has Constitutional Duties to so Stay that action, </w:t>
      </w:r>
      <w:r>
        <w:rPr/>
        <w:t xml:space="preserve">based on </w:t>
      </w:r>
      <w:r>
        <w:rPr/>
        <w:t xml:space="preserve">numerous issues, including </w:t>
      </w:r>
      <w:r>
        <w:rPr/>
        <w:t xml:space="preserve">the fact, that, we </w:t>
      </w:r>
      <w:r>
        <w:rPr/>
        <w:t>have been proceeding in ‘P</w:t>
      </w:r>
      <w:r>
        <w:rPr/>
        <w:t>ro</w:t>
      </w:r>
      <w:r>
        <w:rPr/>
        <w:t xml:space="preserve">pria Persona’ manner, similar to “Pro Se” manner. </w:t>
      </w:r>
      <w:r>
        <w:rPr/>
        <w:t>Case law supportive of this point reads as follows:</w:t>
      </w:r>
    </w:p>
    <w:p>
      <w:pPr>
        <w:pStyle w:val="normal1"/>
        <w:jc w:val="center"/>
        <w:rPr/>
      </w:pPr>
      <w:r>
        <w:rPr>
          <w:rFonts w:ascii="Liberation Serif" w:hAnsi="Liberation Serif"/>
          <w:b/>
          <w:bCs/>
          <w:sz w:val="22"/>
          <w:szCs w:val="22"/>
          <w:lang w:val="en-US"/>
        </w:rPr>
        <w:br/>
        <w:t xml:space="preserve">". . .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the allegations of the pro se complaint, . . . we hold to less stringent standards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</w:t>
        <w:br/>
      </w:r>
      <w:r>
        <w:rPr>
          <w:rFonts w:ascii="Liberation Serif" w:hAnsi="Liberation Serif"/>
          <w:b/>
          <w:bCs/>
          <w:sz w:val="22"/>
          <w:szCs w:val="22"/>
          <w:lang w:val="en-US"/>
        </w:rPr>
        <w:t>t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han formal pleadings drafted by lawyers, . . ." </w:t>
        <w:br/>
        <w:t>Haines v. Kerner, 404 U.S. 519, 30 L. Ed. 2nd 652 ; US Supreme Court: 1972.</w:t>
      </w:r>
      <w:r>
        <w:rPr/>
        <w:br/>
      </w:r>
    </w:p>
    <w:p>
      <w:pPr>
        <w:pStyle w:val="normal1"/>
        <w:jc w:val="left"/>
        <w:rPr/>
      </w:pPr>
      <w:r>
        <w:rPr/>
        <w:tab/>
      </w:r>
      <w:r>
        <w:rPr/>
        <w:t xml:space="preserve">Further; </w:t>
      </w:r>
      <w:r>
        <w:rPr/>
        <w:t xml:space="preserve">in our efforts to make sure </w:t>
      </w:r>
      <w:r>
        <w:rPr/>
        <w:t xml:space="preserve">that </w:t>
      </w:r>
      <w:r>
        <w:rPr/>
        <w:t xml:space="preserve">we have been proceeding in accordance with applicable “Law”, </w:t>
      </w:r>
      <w:r>
        <w:rPr/>
        <w:t xml:space="preserve"> we </w:t>
      </w:r>
      <w:r>
        <w:rPr/>
        <w:t xml:space="preserve">have </w:t>
      </w:r>
      <w:r>
        <w:rPr/>
        <w:t xml:space="preserve">contacted over 75 attorneys, </w:t>
      </w:r>
      <w:r>
        <w:rPr/>
        <w:t xml:space="preserve">all of whom </w:t>
      </w:r>
      <w:r>
        <w:rPr/>
        <w:t xml:space="preserve">have </w:t>
      </w:r>
      <w:r>
        <w:rPr/>
        <w:t xml:space="preserve">refused to assist us with this </w:t>
      </w:r>
      <w:r>
        <w:rPr/>
        <w:t xml:space="preserve">case. </w:t>
      </w:r>
      <w:r>
        <w:rPr/>
        <w:t xml:space="preserve">We have </w:t>
      </w:r>
      <w:r>
        <w:rPr/>
        <w:t xml:space="preserve">researched </w:t>
      </w:r>
      <w:r>
        <w:rPr/>
        <w:t>applicable “L</w:t>
      </w:r>
      <w:r>
        <w:rPr/>
        <w:t xml:space="preserve">aw” to the best of </w:t>
      </w:r>
      <w:r>
        <w:rPr/>
        <w:t xml:space="preserve">our </w:t>
      </w:r>
      <w:r>
        <w:rPr/>
        <w:t xml:space="preserve">ability, </w:t>
      </w:r>
      <w:r>
        <w:rPr/>
        <w:t xml:space="preserve">&amp; </w:t>
      </w:r>
      <w:r>
        <w:rPr/>
        <w:t xml:space="preserve">based on </w:t>
      </w:r>
      <w:r>
        <w:rPr/>
        <w:t xml:space="preserve">that research &amp; </w:t>
      </w:r>
      <w:r>
        <w:rPr/>
        <w:t xml:space="preserve">the motions </w:t>
      </w:r>
      <w:r>
        <w:rPr/>
        <w:t xml:space="preserve">we have </w:t>
      </w:r>
      <w:r>
        <w:rPr/>
        <w:t xml:space="preserve">filed, </w:t>
      </w:r>
      <w:r>
        <w:rPr/>
        <w:t xml:space="preserve">and </w:t>
      </w:r>
      <w:r>
        <w:rPr/>
        <w:t xml:space="preserve">after judgment was rendered; </w:t>
      </w:r>
      <w:r>
        <w:rPr/>
        <w:t xml:space="preserve">we formed what we believed to be our well-grounded </w:t>
      </w:r>
      <w:r>
        <w:rPr/>
        <w:t xml:space="preserve">&amp; well-reasoned </w:t>
      </w:r>
      <w:r>
        <w:rPr/>
        <w:t xml:space="preserve">belief, that, according to this Court’s normal procedure, we </w:t>
      </w:r>
      <w:r>
        <w:rPr/>
        <w:t xml:space="preserve">had 90 days to file </w:t>
      </w:r>
      <w:r>
        <w:rPr/>
        <w:t>this form of a ‘N</w:t>
      </w:r>
      <w:r>
        <w:rPr/>
        <w:t xml:space="preserve">otice of </w:t>
      </w:r>
      <w:r>
        <w:rPr/>
        <w:t>A</w:t>
      </w:r>
      <w:r>
        <w:rPr/>
        <w:t xml:space="preserve">ppeal’ </w:t>
      </w:r>
      <w:r>
        <w:rPr/>
        <w:t>document</w:t>
      </w:r>
      <w:r>
        <w:rPr/>
        <w:t xml:space="preserve">. </w:t>
        <w:br/>
      </w:r>
    </w:p>
    <w:p>
      <w:pPr>
        <w:pStyle w:val="normal1"/>
        <w:jc w:val="left"/>
        <w:rPr/>
      </w:pPr>
      <w:r>
        <w:rPr/>
        <w:tab/>
      </w:r>
      <w:r>
        <w:rPr/>
        <w:t>We believe we are Not Guilty of being “</w:t>
      </w:r>
      <w:r>
        <w:rPr/>
        <w:t>Ignoran</w:t>
      </w:r>
      <w:r>
        <w:rPr/>
        <w:t xml:space="preserve">t” about these issues; but, we do admit, that, it is possible, that, we could have made some honest &amp; good-faith mistakes here.  We have been doing the </w:t>
      </w:r>
      <w:r>
        <w:rPr/>
        <w:t xml:space="preserve">best that </w:t>
      </w:r>
      <w:r>
        <w:rPr/>
        <w:t>we are capable of here</w:t>
      </w:r>
      <w:r>
        <w:rPr/>
        <w:t xml:space="preserve">. </w:t>
        <w:br/>
      </w:r>
    </w:p>
    <w:p>
      <w:pPr>
        <w:pStyle w:val="normal1"/>
        <w:jc w:val="left"/>
        <w:rPr/>
      </w:pPr>
      <w:r>
        <w:rPr/>
        <w:tab/>
        <w:t xml:space="preserve">We pray to </w:t>
      </w:r>
      <w:r>
        <w:rPr/>
        <w:t xml:space="preserve">the True </w:t>
      </w:r>
      <w:r>
        <w:rPr/>
        <w:t xml:space="preserve">God </w:t>
      </w:r>
      <w:r>
        <w:rPr/>
        <w:t xml:space="preserve">of Israel, </w:t>
      </w:r>
      <w:r>
        <w:rPr/>
        <w:t>that, this ‘</w:t>
      </w:r>
      <w:r>
        <w:rPr/>
        <w:t>N</w:t>
      </w:r>
      <w:r>
        <w:rPr/>
        <w:t xml:space="preserve">otice </w:t>
      </w:r>
      <w:r>
        <w:rPr/>
        <w:t xml:space="preserve">of Appeal’ document </w:t>
      </w:r>
      <w:r>
        <w:rPr/>
        <w:t>w</w:t>
      </w:r>
      <w:r>
        <w:rPr/>
        <w:t>ill inspire this Court to S</w:t>
      </w:r>
      <w:r>
        <w:rPr/>
        <w:t xml:space="preserve">tay the </w:t>
      </w:r>
      <w:r>
        <w:rPr/>
        <w:t>Actions of the Sheriff under this Court’s ‘Writ of Possession’ document &amp; its ‘F</w:t>
      </w:r>
      <w:r>
        <w:rPr/>
        <w:t xml:space="preserve">orcible </w:t>
      </w:r>
      <w:r>
        <w:rPr/>
        <w:t>D</w:t>
      </w:r>
      <w:r>
        <w:rPr/>
        <w:t xml:space="preserve">etainer’ </w:t>
      </w:r>
      <w:r>
        <w:rPr/>
        <w:t xml:space="preserve">case, </w:t>
      </w:r>
      <w:r>
        <w:rPr/>
        <w:t xml:space="preserve">until </w:t>
      </w:r>
      <w:r>
        <w:rPr/>
        <w:t xml:space="preserve">after </w:t>
      </w:r>
      <w:r>
        <w:rPr/>
        <w:t xml:space="preserve">our </w:t>
      </w:r>
      <w:r>
        <w:rPr/>
        <w:t>A</w:t>
      </w:r>
      <w:r>
        <w:rPr/>
        <w:t xml:space="preserve">ppeal </w:t>
      </w:r>
      <w:r>
        <w:rPr/>
        <w:t>of all of this ha</w:t>
      </w:r>
      <w:r>
        <w:rPr/>
        <w:t xml:space="preserve">s </w:t>
      </w:r>
      <w:r>
        <w:rPr/>
        <w:t xml:space="preserve">been properly </w:t>
      </w:r>
      <w:r>
        <w:rPr/>
        <w:t xml:space="preserve">heard. </w:t>
      </w:r>
    </w:p>
    <w:p>
      <w:pPr>
        <w:pStyle w:val="normal1"/>
        <w:jc w:val="left"/>
        <w:rPr/>
      </w:pPr>
      <w:r>
        <w:rPr/>
        <w:br/>
        <w:tab/>
      </w:r>
      <w:r>
        <w:rPr/>
        <w:t>A few more citations, which show that this Court has Duties to our Common Texas People, to proceed in this precise manner, read as follows:</w:t>
      </w:r>
    </w:p>
    <w:p>
      <w:pPr>
        <w:pStyle w:val="normal1"/>
        <w:jc w:val="left"/>
        <w:rPr/>
      </w:pPr>
      <w:r>
        <w:rPr/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  <w:u w:val="single"/>
          <w:lang w:val="en-US"/>
        </w:rPr>
        <w:t xml:space="preserve">Texas </w:t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Rules of Civil Procedure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: 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Part 1: 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Rule 1: </w:t>
      </w:r>
      <w:r>
        <w:rPr>
          <w:rFonts w:ascii="Liberation Serif" w:hAnsi="Liberation Serif"/>
          <w:b/>
          <w:sz w:val="22"/>
          <w:szCs w:val="22"/>
          <w:lang w:val="en-US"/>
        </w:rPr>
        <w:t>Objective of Rules:</w:t>
      </w:r>
      <w:r>
        <w:rPr>
          <w:rFonts w:ascii="Liberation Serif" w:hAnsi="Liberation Serif"/>
          <w:b/>
          <w:sz w:val="22"/>
          <w:szCs w:val="22"/>
          <w:lang w:val="en-US"/>
        </w:rPr>
        <w:br/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The proper objective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 of rules of civil procedure </w:t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is to obtain a just, fair, equitable and impartial adjudication of the rights of litigants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 </w:t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under established principles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 of substantive law.  </w:t>
        <w:br/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To the end that this objective maybe attained</w:t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 with as great expedition and dispatch and </w:t>
        <w:br/>
        <w:t xml:space="preserve">at the least expense both to the litigants and to the state as maybe practicable, </w:t>
        <w:br/>
      </w:r>
      <w:r>
        <w:rPr>
          <w:rFonts w:ascii="Liberation Serif" w:hAnsi="Liberation Serif"/>
          <w:b/>
          <w:sz w:val="22"/>
          <w:szCs w:val="22"/>
          <w:u w:val="single"/>
          <w:lang w:val="en-US"/>
        </w:rPr>
        <w:t>these rules shall be given a liberal construction</w:t>
      </w:r>
      <w:r>
        <w:rPr>
          <w:rFonts w:ascii="Liberation Serif" w:hAnsi="Liberation Serif"/>
          <w:b/>
          <w:sz w:val="22"/>
          <w:szCs w:val="22"/>
          <w:lang w:val="en-US"/>
        </w:rPr>
        <w:t>.</w:t>
        <w:br/>
      </w:r>
      <w:r>
        <w:rPr>
          <w:rFonts w:ascii="Liberation Serif" w:hAnsi="Liberation Serif"/>
          <w:b/>
          <w:sz w:val="22"/>
          <w:szCs w:val="22"/>
          <w:lang w:val="en-US"/>
        </w:rPr>
        <w:br/>
      </w:r>
      <w:r>
        <w:rPr>
          <w:rFonts w:ascii="Liberation Serif" w:hAnsi="Liberation Serif"/>
          <w:b/>
          <w:sz w:val="22"/>
          <w:szCs w:val="22"/>
          <w:lang w:val="en-US"/>
        </w:rPr>
        <w:t xml:space="preserve">Rule 45: 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>“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 xml:space="preserve">All pleadings shall be construed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 xml:space="preserve">so as to do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substantial justice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>.”</w:t>
        <w:br/>
        <w:br/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Rule 191.3 (c):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The signature of</w:t>
      </w:r>
      <w:r>
        <w:rPr>
          <w:rFonts w:ascii="Liberation Serif" w:hAnsi="Liberation Serif"/>
          <w:b/>
          <w:bCs/>
          <w:sz w:val="22"/>
          <w:szCs w:val="22"/>
          <w:u w:val="none"/>
          <w:lang w:val="en-US"/>
        </w:rPr>
        <w:t xml:space="preserve"> a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n attorney or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party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on a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discovery request,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notice, response, or objection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constitutes a certification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that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to the best of the signer's knowledge, information, and belief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,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formed after a reasonable inquiry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,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the request, notice, response, or objection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: </w:t>
        <w:br/>
        <w:t xml:space="preserve">(1)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is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 consistent with … and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warranted by existing law or a good faith argument for the extension, modification, or reversal of existing law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; </w:t>
        <w:br/>
        <w:t xml:space="preserve">(2)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has a good faith factual basis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; (3)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is not interposed for any improper purpose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, </w:t>
        <w:br/>
        <w:t xml:space="preserve">such as to harass or to cause unnecessary delay or needless increase in the cost of litigation; </w:t>
        <w:br/>
        <w:t xml:space="preserve">and (4)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is not unreasonable or unduly burdensome or expensive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, </w:t>
        <w:br/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given the needs of the case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 xml:space="preserve">, … </w:t>
      </w:r>
      <w:r>
        <w:rPr>
          <w:rFonts w:ascii="Liberation Serif" w:hAnsi="Liberation Serif"/>
          <w:b/>
          <w:bCs/>
          <w:sz w:val="22"/>
          <w:szCs w:val="22"/>
          <w:u w:val="single"/>
          <w:lang w:val="en-US"/>
        </w:rPr>
        <w:t>and the importance of the issues at stake in the litigation</w:t>
      </w:r>
      <w:r>
        <w:rPr>
          <w:rFonts w:ascii="Liberation Serif" w:hAnsi="Liberation Serif"/>
          <w:b/>
          <w:bCs/>
          <w:sz w:val="22"/>
          <w:szCs w:val="22"/>
          <w:lang w:val="en-US"/>
        </w:rPr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Dated this </w:t>
      </w:r>
      <w:r>
        <w:rPr/>
        <w:t>25</w:t>
      </w:r>
      <w:r>
        <w:rPr>
          <w:vertAlign w:val="superscript"/>
        </w:rPr>
        <w:t>th</w:t>
      </w:r>
      <w:r>
        <w:rPr/>
        <w:t xml:space="preserve"> </w:t>
      </w:r>
      <w:r>
        <w:rPr/>
        <w:t>day of November 2024.</w:t>
      </w:r>
    </w:p>
    <w:p>
      <w:pPr>
        <w:pStyle w:val="normal1"/>
        <w:rPr/>
      </w:pPr>
      <w:r>
        <w:rPr/>
        <w:tab/>
        <w:tab/>
        <w:tab/>
        <w:tab/>
        <w:tab/>
        <w:tab/>
        <w:tab/>
        <w:tab/>
        <w:t>_____________________________</w:t>
      </w:r>
    </w:p>
    <w:p>
      <w:pPr>
        <w:pStyle w:val="normal1"/>
        <w:rPr/>
      </w:pPr>
      <w:r>
        <w:rPr/>
        <w:tab/>
        <w:tab/>
        <w:tab/>
        <w:tab/>
        <w:tab/>
        <w:tab/>
        <w:tab/>
        <w:tab/>
        <w:t>Michael Moore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ab/>
        <w:tab/>
        <w:tab/>
        <w:tab/>
        <w:tab/>
        <w:tab/>
        <w:tab/>
        <w:t>____________________________</w:t>
      </w:r>
    </w:p>
    <w:p>
      <w:pPr>
        <w:pStyle w:val="normal1"/>
        <w:ind w:firstLine="720" w:left="5040"/>
        <w:rPr/>
      </w:pPr>
      <w:r>
        <w:rPr/>
        <w:t>Christine Huddleston Moore</w:t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LibreOffice/24.2.6.2$Linux_X86_64 LibreOffice_project/420$Build-2</Application>
  <AppVersion>15.0000</AppVersion>
  <Pages>2</Pages>
  <Words>666</Words>
  <Characters>3311</Characters>
  <CharactersWithSpaces>4061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2024-11-25T14:26:34Z</cp:lastPrinted>
  <dcterms:modified xsi:type="dcterms:W3CDTF">2024-11-25T14:26:21Z</dcterms:modified>
  <cp:revision>2</cp:revision>
  <dc:subject/>
  <dc:title/>
</cp:coreProperties>
</file>