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3" w:rsidRDefault="00B33BE3" w:rsidP="00B33BE3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Article 3, </w:t>
      </w:r>
    </w:p>
    <w:p w:rsidR="00B33BE3" w:rsidRPr="004E7550" w:rsidRDefault="00B33BE3" w:rsidP="00B33BE3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Superior Common law </w:t>
      </w:r>
      <w:r w:rsidRPr="00082A81">
        <w:rPr>
          <w:rFonts w:eastAsia="Times New Roman" w:cs="Times New Roman"/>
          <w:sz w:val="32"/>
          <w:szCs w:val="32"/>
        </w:rPr>
        <w:t>Court of Record</w:t>
      </w:r>
      <w:r>
        <w:rPr>
          <w:rFonts w:eastAsia="Times New Roman" w:cs="Times New Roman"/>
          <w:sz w:val="32"/>
          <w:szCs w:val="32"/>
        </w:rPr>
        <w:t xml:space="preserve">, </w:t>
      </w:r>
    </w:p>
    <w:p w:rsidR="00B33BE3" w:rsidRPr="00082A81" w:rsidRDefault="00B33BE3" w:rsidP="00B33BE3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Montcalm County Venue</w:t>
      </w:r>
    </w:p>
    <w:p w:rsidR="00B33BE3" w:rsidRPr="00FC18FF" w:rsidRDefault="00B33BE3" w:rsidP="00B33BE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C18FF">
        <w:rPr>
          <w:rFonts w:eastAsia="Times New Roman" w:cs="Times New Roman"/>
          <w:sz w:val="24"/>
          <w:szCs w:val="24"/>
        </w:rPr>
        <w:t>MRE Rule 202</w:t>
      </w:r>
    </w:p>
    <w:p w:rsidR="00B33BE3" w:rsidRPr="00EC1C5A" w:rsidRDefault="00B33BE3" w:rsidP="00B33BE3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u w:val="single"/>
        </w:rPr>
      </w:pPr>
    </w:p>
    <w:p w:rsidR="00B33BE3" w:rsidRPr="00104D64" w:rsidRDefault="00B33BE3" w:rsidP="00B33BE3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0"/>
        </w:rPr>
      </w:pPr>
    </w:p>
    <w:p w:rsidR="00B33BE3" w:rsidRPr="00321715" w:rsidRDefault="00B33BE3" w:rsidP="00B33BE3">
      <w:pPr>
        <w:pStyle w:val="NoSpacing"/>
        <w:rPr>
          <w:sz w:val="24"/>
          <w:szCs w:val="24"/>
        </w:rPr>
      </w:pPr>
      <w:r w:rsidRPr="00321715">
        <w:rPr>
          <w:sz w:val="24"/>
          <w:szCs w:val="24"/>
        </w:rPr>
        <w:t>Andrew Stuart Ouwenga, Sui Juris</w:t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  <w:t xml:space="preserve">                Case No. </w:t>
      </w:r>
      <w:r>
        <w:rPr>
          <w:sz w:val="24"/>
          <w:szCs w:val="24"/>
        </w:rPr>
        <w:t>17-S-22652-CK</w:t>
      </w:r>
    </w:p>
    <w:p w:rsidR="00B33BE3" w:rsidRPr="00321715" w:rsidRDefault="00B33BE3" w:rsidP="00B33BE3">
      <w:pPr>
        <w:pStyle w:val="NoSpacing"/>
        <w:rPr>
          <w:sz w:val="24"/>
          <w:szCs w:val="24"/>
        </w:rPr>
      </w:pPr>
    </w:p>
    <w:p w:rsidR="00B33BE3" w:rsidRPr="00321715" w:rsidRDefault="00B33BE3" w:rsidP="00B33BE3">
      <w:pPr>
        <w:pStyle w:val="NoSpacing"/>
        <w:rPr>
          <w:sz w:val="24"/>
          <w:szCs w:val="24"/>
        </w:rPr>
      </w:pPr>
      <w:r w:rsidRPr="00321715">
        <w:rPr>
          <w:sz w:val="24"/>
          <w:szCs w:val="24"/>
        </w:rPr>
        <w:tab/>
        <w:t>Grievant,</w:t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</w:p>
    <w:p w:rsidR="00B33BE3" w:rsidRPr="00321715" w:rsidRDefault="00B33BE3" w:rsidP="00B33BE3">
      <w:pPr>
        <w:pStyle w:val="NoSpacing"/>
        <w:rPr>
          <w:sz w:val="24"/>
          <w:szCs w:val="24"/>
        </w:rPr>
      </w:pP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proofErr w:type="gramStart"/>
      <w:r w:rsidRPr="00321715">
        <w:rPr>
          <w:sz w:val="24"/>
          <w:szCs w:val="24"/>
        </w:rPr>
        <w:t>Hon.</w:t>
      </w:r>
      <w:proofErr w:type="gramEnd"/>
      <w:r w:rsidRPr="003217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__</w:t>
      </w:r>
      <w:r>
        <w:rPr>
          <w:sz w:val="24"/>
          <w:szCs w:val="24"/>
          <w:u w:val="single"/>
        </w:rPr>
        <w:t xml:space="preserve">Ronald J. Schafer_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                Judge/</w:t>
      </w:r>
      <w:r w:rsidRPr="00321715">
        <w:rPr>
          <w:rFonts w:cstheme="minorHAnsi"/>
          <w:sz w:val="24"/>
          <w:szCs w:val="24"/>
        </w:rPr>
        <w:t>Magistrate</w:t>
      </w:r>
    </w:p>
    <w:p w:rsidR="00B33BE3" w:rsidRPr="00321715" w:rsidRDefault="00B33BE3" w:rsidP="00B33BE3">
      <w:pPr>
        <w:pStyle w:val="NoSpacing"/>
        <w:rPr>
          <w:rFonts w:cstheme="minorHAnsi"/>
          <w:sz w:val="24"/>
          <w:szCs w:val="24"/>
        </w:rPr>
      </w:pPr>
      <w:r w:rsidRPr="00321715">
        <w:rPr>
          <w:rFonts w:cstheme="minorHAnsi"/>
          <w:sz w:val="24"/>
          <w:szCs w:val="24"/>
        </w:rPr>
        <w:tab/>
      </w:r>
      <w:proofErr w:type="gramStart"/>
      <w:r w:rsidRPr="00321715">
        <w:rPr>
          <w:sz w:val="24"/>
          <w:szCs w:val="24"/>
        </w:rPr>
        <w:t>vs</w:t>
      </w:r>
      <w:proofErr w:type="gramEnd"/>
      <w:r w:rsidRPr="00321715">
        <w:rPr>
          <w:sz w:val="24"/>
          <w:szCs w:val="24"/>
        </w:rPr>
        <w:t>.</w:t>
      </w:r>
      <w:r w:rsidRPr="00321715">
        <w:rPr>
          <w:rFonts w:cstheme="minorHAnsi"/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ab/>
      </w:r>
      <w:r w:rsidRPr="00321715">
        <w:rPr>
          <w:rFonts w:cstheme="minorHAnsi"/>
          <w:sz w:val="24"/>
          <w:szCs w:val="24"/>
        </w:rPr>
        <w:tab/>
      </w:r>
    </w:p>
    <w:p w:rsidR="00B33BE3" w:rsidRPr="00321715" w:rsidRDefault="00B33BE3" w:rsidP="00B33BE3">
      <w:pPr>
        <w:pStyle w:val="NoSpacing"/>
        <w:rPr>
          <w:sz w:val="24"/>
          <w:szCs w:val="24"/>
        </w:rPr>
      </w:pP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</w:p>
    <w:p w:rsidR="00B33BE3" w:rsidRPr="002F3EC5" w:rsidRDefault="00B33BE3" w:rsidP="00B33BE3">
      <w:pPr>
        <w:pStyle w:val="NoSpacing"/>
        <w:rPr>
          <w:sz w:val="24"/>
          <w:szCs w:val="24"/>
        </w:rPr>
      </w:pPr>
      <w:r w:rsidRPr="002F3EC5">
        <w:rPr>
          <w:sz w:val="24"/>
          <w:szCs w:val="24"/>
        </w:rPr>
        <w:t>Reynold</w:t>
      </w:r>
      <w:r>
        <w:rPr>
          <w:sz w:val="24"/>
          <w:szCs w:val="24"/>
        </w:rPr>
        <w:t>s</w:t>
      </w:r>
      <w:r w:rsidRPr="002F3EC5">
        <w:rPr>
          <w:sz w:val="24"/>
          <w:szCs w:val="24"/>
        </w:rPr>
        <w:t xml:space="preserve"> Township Board</w:t>
      </w:r>
      <w:r w:rsidRPr="002F3EC5">
        <w:rPr>
          <w:sz w:val="24"/>
          <w:szCs w:val="24"/>
        </w:rPr>
        <w:tab/>
      </w:r>
      <w:r w:rsidRPr="002F3EC5">
        <w:rPr>
          <w:sz w:val="24"/>
          <w:szCs w:val="24"/>
        </w:rPr>
        <w:tab/>
        <w:t xml:space="preserve">      </w:t>
      </w:r>
      <w:r w:rsidRPr="002F3EC5">
        <w:rPr>
          <w:sz w:val="24"/>
          <w:szCs w:val="24"/>
        </w:rPr>
        <w:tab/>
      </w:r>
      <w:r w:rsidRPr="002F3EC5">
        <w:rPr>
          <w:sz w:val="24"/>
          <w:szCs w:val="24"/>
        </w:rPr>
        <w:tab/>
        <w:t xml:space="preserve">        Re: Tacit Agreement by ‘Default’.</w:t>
      </w:r>
    </w:p>
    <w:p w:rsidR="00B33BE3" w:rsidRPr="00321715" w:rsidRDefault="00B33BE3" w:rsidP="00B33BE3">
      <w:pPr>
        <w:pStyle w:val="NoSpacing"/>
        <w:rPr>
          <w:sz w:val="24"/>
          <w:szCs w:val="24"/>
        </w:rPr>
      </w:pPr>
      <w:proofErr w:type="gramStart"/>
      <w:r w:rsidRPr="002F3EC5">
        <w:rPr>
          <w:sz w:val="24"/>
          <w:szCs w:val="24"/>
        </w:rPr>
        <w:t>Members, Sui Juris, et al.</w:t>
      </w:r>
      <w:proofErr w:type="gramEnd"/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  <w:t xml:space="preserve">               MCL </w:t>
      </w:r>
      <w:r w:rsidRPr="00321715">
        <w:rPr>
          <w:rFonts w:ascii="Times New Roman" w:eastAsia="Times New Roman" w:hAnsi="Times New Roman" w:cs="Times New Roman"/>
          <w:bCs/>
          <w:sz w:val="24"/>
          <w:szCs w:val="24"/>
        </w:rPr>
        <w:t>440.3601,</w:t>
      </w:r>
      <w:r w:rsidRPr="00321715">
        <w:rPr>
          <w:sz w:val="24"/>
          <w:szCs w:val="24"/>
        </w:rPr>
        <w:t xml:space="preserve">   NIHIL DICIT                                      </w:t>
      </w:r>
    </w:p>
    <w:p w:rsidR="00B33BE3" w:rsidRPr="00321715" w:rsidRDefault="00B33BE3" w:rsidP="00B33BE3">
      <w:pPr>
        <w:pStyle w:val="NoSpacing"/>
        <w:rPr>
          <w:sz w:val="24"/>
          <w:szCs w:val="24"/>
        </w:rPr>
      </w:pPr>
    </w:p>
    <w:p w:rsidR="00B33BE3" w:rsidRPr="00321715" w:rsidRDefault="00B33BE3" w:rsidP="00B33BE3">
      <w:pPr>
        <w:pStyle w:val="NoSpacing"/>
        <w:rPr>
          <w:sz w:val="24"/>
          <w:szCs w:val="24"/>
        </w:rPr>
      </w:pPr>
      <w:r w:rsidRPr="00321715">
        <w:rPr>
          <w:sz w:val="24"/>
          <w:szCs w:val="24"/>
        </w:rPr>
        <w:tab/>
      </w:r>
      <w:proofErr w:type="gramStart"/>
      <w:r w:rsidRPr="00321715">
        <w:rPr>
          <w:sz w:val="24"/>
          <w:szCs w:val="24"/>
        </w:rPr>
        <w:t>Respondent</w:t>
      </w:r>
      <w:r w:rsidR="00B66643">
        <w:rPr>
          <w:sz w:val="24"/>
          <w:szCs w:val="24"/>
        </w:rPr>
        <w:t>(</w:t>
      </w:r>
      <w:r w:rsidRPr="00321715">
        <w:rPr>
          <w:sz w:val="24"/>
          <w:szCs w:val="24"/>
        </w:rPr>
        <w:t>s</w:t>
      </w:r>
      <w:r w:rsidR="00B66643">
        <w:rPr>
          <w:sz w:val="24"/>
          <w:szCs w:val="24"/>
        </w:rPr>
        <w:t>)</w:t>
      </w:r>
      <w:r w:rsidRPr="00321715">
        <w:rPr>
          <w:sz w:val="24"/>
          <w:szCs w:val="24"/>
        </w:rPr>
        <w:t>.</w:t>
      </w:r>
      <w:proofErr w:type="gramEnd"/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sz w:val="24"/>
          <w:szCs w:val="24"/>
        </w:rPr>
        <w:tab/>
      </w:r>
      <w:r w:rsidRPr="00321715">
        <w:rPr>
          <w:rFonts w:eastAsia="Times New Roman"/>
          <w:sz w:val="24"/>
          <w:szCs w:val="24"/>
        </w:rPr>
        <w:tab/>
      </w:r>
      <w:r w:rsidRPr="00321715">
        <w:rPr>
          <w:rFonts w:eastAsia="Times New Roman"/>
          <w:sz w:val="24"/>
          <w:szCs w:val="24"/>
        </w:rPr>
        <w:tab/>
      </w:r>
      <w:r w:rsidRPr="00321715">
        <w:rPr>
          <w:rFonts w:eastAsia="Times New Roman"/>
          <w:sz w:val="24"/>
          <w:szCs w:val="24"/>
        </w:rPr>
        <w:tab/>
      </w:r>
      <w:r w:rsidRPr="00321715">
        <w:rPr>
          <w:rFonts w:eastAsia="Times New Roman"/>
          <w:sz w:val="24"/>
          <w:szCs w:val="24"/>
        </w:rPr>
        <w:tab/>
      </w:r>
    </w:p>
    <w:p w:rsidR="00B33BE3" w:rsidRPr="009E4731" w:rsidRDefault="00B33BE3" w:rsidP="00B33BE3">
      <w:pPr>
        <w:pStyle w:val="NoSpacing"/>
        <w:rPr>
          <w:rFonts w:eastAsia="Times New Roman"/>
        </w:rPr>
      </w:pPr>
      <w:r w:rsidRPr="00321715">
        <w:rPr>
          <w:rFonts w:eastAsia="Times New Roman"/>
          <w:sz w:val="24"/>
          <w:szCs w:val="24"/>
        </w:rPr>
        <w:t>_____________________________/</w:t>
      </w:r>
      <w:r w:rsidRPr="00321715">
        <w:rPr>
          <w:rFonts w:eastAsia="Times New Roman"/>
        </w:rPr>
        <w:tab/>
      </w:r>
      <w:r w:rsidRPr="009E4731">
        <w:rPr>
          <w:rFonts w:eastAsia="Times New Roman"/>
        </w:rPr>
        <w:tab/>
      </w:r>
    </w:p>
    <w:p w:rsidR="00B33BE3" w:rsidRDefault="00B33BE3" w:rsidP="00B33BE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05/12/2017</w:t>
      </w:r>
      <w:r w:rsidRPr="009E4731">
        <w:rPr>
          <w:rFonts w:eastAsia="Times New Roman" w:cstheme="minorHAnsi"/>
          <w:sz w:val="24"/>
          <w:szCs w:val="24"/>
        </w:rPr>
        <w:tab/>
      </w:r>
      <w:r w:rsidRPr="009E4731">
        <w:rPr>
          <w:rFonts w:eastAsia="Times New Roman" w:cstheme="minorHAnsi"/>
          <w:sz w:val="24"/>
          <w:szCs w:val="24"/>
        </w:rPr>
        <w:tab/>
      </w:r>
      <w:r w:rsidRPr="009E4731">
        <w:rPr>
          <w:rFonts w:eastAsia="Times New Roman" w:cstheme="minorHAnsi"/>
          <w:sz w:val="24"/>
          <w:szCs w:val="24"/>
        </w:rPr>
        <w:tab/>
      </w:r>
      <w:r w:rsidRPr="009E4731">
        <w:rPr>
          <w:rFonts w:eastAsia="Times New Roman" w:cstheme="minorHAnsi"/>
          <w:sz w:val="24"/>
          <w:szCs w:val="24"/>
        </w:rPr>
        <w:tab/>
        <w:t xml:space="preserve">   </w:t>
      </w:r>
    </w:p>
    <w:p w:rsidR="00B66643" w:rsidRDefault="00B66643" w:rsidP="00B33BE3">
      <w:pPr>
        <w:pStyle w:val="NoSpacing"/>
        <w:jc w:val="center"/>
        <w:rPr>
          <w:b/>
          <w:sz w:val="28"/>
          <w:szCs w:val="28"/>
        </w:rPr>
      </w:pPr>
    </w:p>
    <w:p w:rsidR="00B66643" w:rsidRDefault="00B66643" w:rsidP="00B33BE3">
      <w:pPr>
        <w:pStyle w:val="NoSpacing"/>
        <w:jc w:val="center"/>
        <w:rPr>
          <w:b/>
          <w:sz w:val="28"/>
          <w:szCs w:val="28"/>
        </w:rPr>
      </w:pPr>
    </w:p>
    <w:p w:rsidR="00B33BE3" w:rsidRDefault="00B33BE3" w:rsidP="00B33B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GRIEVANT’S RESPONDS TO REYNOLDS TOWNSHIP BOARD’S </w:t>
      </w:r>
    </w:p>
    <w:p w:rsidR="00B33BE3" w:rsidRDefault="00B33BE3" w:rsidP="00B33B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DISMISS ACTIONS IN THE </w:t>
      </w:r>
    </w:p>
    <w:p w:rsidR="00B33BE3" w:rsidRDefault="00B33BE3" w:rsidP="00B33B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ABOVE CASE CAPTION MATTER / CASE NO. 17-S-226552-CK</w:t>
      </w:r>
    </w:p>
    <w:p w:rsidR="00B33BE3" w:rsidRPr="00B66643" w:rsidRDefault="00B33BE3" w:rsidP="00B33BE3">
      <w:pPr>
        <w:pStyle w:val="NoSpacing"/>
        <w:jc w:val="center"/>
        <w:rPr>
          <w:sz w:val="24"/>
          <w:szCs w:val="24"/>
        </w:rPr>
      </w:pPr>
      <w:r w:rsidRPr="00B66643">
        <w:rPr>
          <w:sz w:val="24"/>
          <w:szCs w:val="24"/>
        </w:rPr>
        <w:t>By Affidavit</w:t>
      </w:r>
    </w:p>
    <w:p w:rsidR="004F0228" w:rsidRDefault="004F0228"/>
    <w:p w:rsidR="00A83212" w:rsidRPr="00A83212" w:rsidRDefault="00A83212" w:rsidP="00A83212">
      <w:pPr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A83212">
        <w:rPr>
          <w:rFonts w:ascii="Calibri" w:eastAsia="Calibri" w:hAnsi="Calibri" w:cs="Times New Roman"/>
          <w:sz w:val="24"/>
          <w:szCs w:val="24"/>
        </w:rPr>
        <w:t xml:space="preserve">COMES NOW, Andrew Stuart Ouwenga, one of the people, a natural man, Sui Juris in the above caption matter with the </w:t>
      </w:r>
      <w:r>
        <w:rPr>
          <w:rFonts w:ascii="Calibri" w:eastAsia="Times New Roman" w:hAnsi="Calibri" w:cs="Times New Roman"/>
          <w:sz w:val="24"/>
          <w:szCs w:val="24"/>
        </w:rPr>
        <w:t>Grievant’s</w:t>
      </w:r>
      <w:r w:rsidRPr="00A83212">
        <w:rPr>
          <w:rFonts w:ascii="Calibri" w:eastAsia="Times New Roman" w:hAnsi="Calibri" w:cs="Times New Roman"/>
          <w:sz w:val="24"/>
          <w:szCs w:val="24"/>
        </w:rPr>
        <w:t xml:space="preserve"> Responds </w:t>
      </w:r>
      <w:proofErr w:type="gramStart"/>
      <w:r w:rsidRPr="00A83212">
        <w:rPr>
          <w:rFonts w:ascii="Calibri" w:eastAsia="Times New Roman" w:hAnsi="Calibri" w:cs="Times New Roman"/>
          <w:sz w:val="24"/>
          <w:szCs w:val="24"/>
        </w:rPr>
        <w:t>To</w:t>
      </w:r>
      <w:proofErr w:type="gramEnd"/>
      <w:r w:rsidRPr="00A83212">
        <w:rPr>
          <w:rFonts w:ascii="Calibri" w:eastAsia="Times New Roman" w:hAnsi="Calibri" w:cs="Times New Roman"/>
          <w:sz w:val="24"/>
          <w:szCs w:val="24"/>
        </w:rPr>
        <w:t xml:space="preserve"> Reynolds Township Board’s Request To Dismiss Actions In The Above Case Caption Matter / Cause NO 17-S-22652-CK with the following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33BE3" w:rsidRDefault="00B33BE3" w:rsidP="00B33BE3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Grievant does not accept; does not CONSENT to SHEPHEN L. GRIMM, P.C. attempted conversion of Grievant’s Common Law Court of Record</w:t>
      </w:r>
      <w:r w:rsidR="00A83212">
        <w:rPr>
          <w:sz w:val="24"/>
          <w:szCs w:val="24"/>
        </w:rPr>
        <w:t xml:space="preserve"> venue</w:t>
      </w:r>
      <w:r>
        <w:rPr>
          <w:sz w:val="24"/>
          <w:szCs w:val="24"/>
        </w:rPr>
        <w:t xml:space="preserve"> under Article 3 to that of the foreign Inferior CORPORATE Court of Equity under the ‘color of law’.</w:t>
      </w:r>
    </w:p>
    <w:p w:rsidR="00B66643" w:rsidRDefault="00B66643" w:rsidP="00342939">
      <w:pPr>
        <w:spacing w:line="480" w:lineRule="auto"/>
        <w:jc w:val="center"/>
        <w:rPr>
          <w:sz w:val="24"/>
          <w:szCs w:val="24"/>
        </w:rPr>
      </w:pPr>
    </w:p>
    <w:p w:rsidR="00342939" w:rsidRDefault="00342939" w:rsidP="0034293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FACTS</w:t>
      </w:r>
    </w:p>
    <w:p w:rsidR="00DA444C" w:rsidRDefault="0024554D" w:rsidP="00A83212">
      <w:pPr>
        <w:spacing w:line="480" w:lineRule="auto"/>
        <w:rPr>
          <w:sz w:val="24"/>
          <w:szCs w:val="24"/>
        </w:rPr>
      </w:pPr>
      <w:r w:rsidRPr="0024554D">
        <w:rPr>
          <w:sz w:val="24"/>
          <w:szCs w:val="24"/>
        </w:rPr>
        <w:t>1.]</w:t>
      </w:r>
      <w:r w:rsidRPr="0024554D">
        <w:rPr>
          <w:sz w:val="24"/>
          <w:szCs w:val="24"/>
        </w:rPr>
        <w:tab/>
      </w:r>
      <w:r w:rsidR="00B66643">
        <w:rPr>
          <w:sz w:val="24"/>
          <w:szCs w:val="24"/>
        </w:rPr>
        <w:t>The NOTICE AND DEMAND TO REMOVE PRIVATE PROPERTY FROM PUBLIC TAX ROLL was filed in an “Article 3, Superior Common law Court of Record”</w:t>
      </w:r>
      <w:r w:rsidR="00D1100A">
        <w:rPr>
          <w:sz w:val="24"/>
          <w:szCs w:val="24"/>
        </w:rPr>
        <w:t>, within the “Montcalm County Venue”</w:t>
      </w:r>
      <w:r w:rsidR="00B66643">
        <w:rPr>
          <w:sz w:val="24"/>
          <w:szCs w:val="24"/>
        </w:rPr>
        <w:t xml:space="preserve"> where the status of all ‘Parties’ are Sui Juris, ‘Grievant’ and ‘Respondents’, and not a PLAINTIFF or DEFENDANT(S) </w:t>
      </w:r>
      <w:r w:rsidR="00D1100A">
        <w:rPr>
          <w:sz w:val="24"/>
          <w:szCs w:val="24"/>
        </w:rPr>
        <w:t>with</w:t>
      </w:r>
      <w:r w:rsidR="00B66643">
        <w:rPr>
          <w:sz w:val="24"/>
          <w:szCs w:val="24"/>
        </w:rPr>
        <w:t>in the</w:t>
      </w:r>
      <w:r w:rsidR="00D1100A">
        <w:rPr>
          <w:sz w:val="24"/>
          <w:szCs w:val="24"/>
        </w:rPr>
        <w:t xml:space="preserve"> inferior</w:t>
      </w:r>
      <w:r w:rsidR="00B66643">
        <w:rPr>
          <w:sz w:val="24"/>
          <w:szCs w:val="24"/>
        </w:rPr>
        <w:t xml:space="preserve"> CORPORATE</w:t>
      </w:r>
      <w:r w:rsidR="00D1100A">
        <w:rPr>
          <w:sz w:val="24"/>
          <w:szCs w:val="24"/>
        </w:rPr>
        <w:t>,</w:t>
      </w:r>
      <w:r w:rsidR="00D1100A" w:rsidRPr="00D1100A">
        <w:rPr>
          <w:sz w:val="24"/>
          <w:szCs w:val="24"/>
        </w:rPr>
        <w:t xml:space="preserve"> </w:t>
      </w:r>
      <w:r w:rsidR="00D1100A">
        <w:rPr>
          <w:sz w:val="24"/>
          <w:szCs w:val="24"/>
        </w:rPr>
        <w:t>‘STATE OF MICHIGAN CIRCUIT COURT FOR THE COUNTY OF MONTCALM</w:t>
      </w:r>
      <w:r w:rsidR="00D1100A">
        <w:rPr>
          <w:sz w:val="24"/>
          <w:szCs w:val="24"/>
        </w:rPr>
        <w:t>; a</w:t>
      </w:r>
      <w:r w:rsidR="00B66643">
        <w:rPr>
          <w:sz w:val="24"/>
          <w:szCs w:val="24"/>
        </w:rPr>
        <w:t xml:space="preserve"> Court of Equity</w:t>
      </w:r>
      <w:r w:rsidR="00D1100A">
        <w:rPr>
          <w:sz w:val="24"/>
          <w:szCs w:val="24"/>
        </w:rPr>
        <w:t>.</w:t>
      </w:r>
      <w:r w:rsidR="00B66643">
        <w:rPr>
          <w:sz w:val="24"/>
          <w:szCs w:val="24"/>
        </w:rPr>
        <w:t xml:space="preserve"> </w:t>
      </w:r>
    </w:p>
    <w:p w:rsidR="0024554D" w:rsidRDefault="0024554D" w:rsidP="00A832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2.]</w:t>
      </w:r>
      <w:r>
        <w:rPr>
          <w:sz w:val="24"/>
          <w:szCs w:val="24"/>
        </w:rPr>
        <w:tab/>
        <w:t xml:space="preserve">Andrew Stuart, Ouwenga is the Grievant, </w:t>
      </w:r>
      <w:r w:rsidR="008B303C">
        <w:rPr>
          <w:sz w:val="24"/>
          <w:szCs w:val="24"/>
        </w:rPr>
        <w:t xml:space="preserve">the CORPORATE, </w:t>
      </w:r>
      <w:r>
        <w:rPr>
          <w:sz w:val="24"/>
          <w:szCs w:val="24"/>
        </w:rPr>
        <w:t>ANDREW STUART OUWENGA as the</w:t>
      </w:r>
      <w:r w:rsidR="00CF397C">
        <w:rPr>
          <w:sz w:val="24"/>
          <w:szCs w:val="24"/>
        </w:rPr>
        <w:t xml:space="preserve"> PLAINTIFF has no standing in the Article 3, Superior </w:t>
      </w:r>
      <w:r w:rsidR="00A83212">
        <w:rPr>
          <w:sz w:val="24"/>
          <w:szCs w:val="24"/>
        </w:rPr>
        <w:t>C</w:t>
      </w:r>
      <w:r w:rsidR="00CF397C">
        <w:rPr>
          <w:sz w:val="24"/>
          <w:szCs w:val="24"/>
        </w:rPr>
        <w:t>ommon law Court of Record.</w:t>
      </w:r>
    </w:p>
    <w:p w:rsidR="00CF397C" w:rsidRDefault="00CF397C" w:rsidP="00A832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3.]</w:t>
      </w:r>
      <w:r>
        <w:rPr>
          <w:sz w:val="24"/>
          <w:szCs w:val="24"/>
        </w:rPr>
        <w:tab/>
        <w:t xml:space="preserve">The ‘CORPORATE’ REYNOLDS TOWNSHIP BOARD MEMBERS </w:t>
      </w:r>
      <w:proofErr w:type="gramStart"/>
      <w:r w:rsidR="00D1100A">
        <w:rPr>
          <w:sz w:val="24"/>
          <w:szCs w:val="24"/>
        </w:rPr>
        <w:t>as  Defendant</w:t>
      </w:r>
      <w:proofErr w:type="gramEnd"/>
      <w:r w:rsidR="00D1100A">
        <w:rPr>
          <w:sz w:val="24"/>
          <w:szCs w:val="24"/>
        </w:rPr>
        <w:t xml:space="preserve">(s) </w:t>
      </w:r>
      <w:r>
        <w:rPr>
          <w:sz w:val="24"/>
          <w:szCs w:val="24"/>
        </w:rPr>
        <w:t xml:space="preserve">have no standing in the Article 3 Court.  Only the Citizens, Sui Juris </w:t>
      </w:r>
      <w:r w:rsidR="00D1100A">
        <w:rPr>
          <w:sz w:val="24"/>
          <w:szCs w:val="24"/>
        </w:rPr>
        <w:t xml:space="preserve">and States </w:t>
      </w:r>
      <w:r>
        <w:rPr>
          <w:sz w:val="24"/>
          <w:szCs w:val="24"/>
        </w:rPr>
        <w:t>come within the venue of Article 3. There is no such thing as SUI JURIS; a legal entity as a DEFENDANT.</w:t>
      </w:r>
    </w:p>
    <w:p w:rsidR="008B303C" w:rsidRDefault="008B303C" w:rsidP="00A832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4.]</w:t>
      </w:r>
      <w:r>
        <w:rPr>
          <w:sz w:val="24"/>
          <w:szCs w:val="24"/>
        </w:rPr>
        <w:tab/>
        <w:t>Only the Hon. Ronald J. Schafer has standing in the Article 3, Superior Common law Court of Record, the</w:t>
      </w:r>
      <w:r w:rsidR="00A83212">
        <w:rPr>
          <w:sz w:val="24"/>
          <w:szCs w:val="24"/>
        </w:rPr>
        <w:t xml:space="preserve"> ‘Corporate’</w:t>
      </w:r>
      <w:r>
        <w:rPr>
          <w:sz w:val="24"/>
          <w:szCs w:val="24"/>
        </w:rPr>
        <w:t xml:space="preserve"> HON. RONALD J.SCHAFER P65466 has no Constitutional Authority to ‘Act Judicial’. </w:t>
      </w:r>
    </w:p>
    <w:p w:rsidR="00342939" w:rsidRDefault="00342939" w:rsidP="00342939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.]</w:t>
      </w:r>
      <w:r>
        <w:rPr>
          <w:sz w:val="24"/>
          <w:szCs w:val="24"/>
        </w:rPr>
        <w:tab/>
        <w:t>An Article 3 Court only recognizes “Citizens” and “States” as ‘Parties’, a PROFESSIONAL CORORATION has no standing.</w:t>
      </w:r>
    </w:p>
    <w:p w:rsidR="00DA444C" w:rsidRDefault="00342939" w:rsidP="00342939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.]</w:t>
      </w:r>
      <w:r>
        <w:rPr>
          <w:sz w:val="24"/>
          <w:szCs w:val="24"/>
        </w:rPr>
        <w:tab/>
        <w:t xml:space="preserve">MCL 450.681 states in pertinent part, “It shall be unlawful for any corporation or voluntary association to practice or appear as an attorney-at-law for any person other than itself in any court in this state or before any judicial body. . .”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2939" w:rsidRDefault="00342939" w:rsidP="00342939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This is also confirmed in MCR 6.003 DEFINITIONS, (1) “party includes the lawyer representing the party.” -  As noted, it is a ‘Lawyer’ in law and not an ‘Attorney at Law’ who can represent a ‘party’ in court.</w:t>
      </w:r>
      <w:r w:rsidR="00874B4B">
        <w:rPr>
          <w:sz w:val="24"/>
          <w:szCs w:val="24"/>
        </w:rPr>
        <w:t xml:space="preserve">  Article 3 Sec. 2 confirms this relationship to “Law”, states in pertinent part, “</w:t>
      </w:r>
      <w:r w:rsidR="00874B4B" w:rsidRPr="00E238D4">
        <w:rPr>
          <w:sz w:val="24"/>
          <w:szCs w:val="24"/>
          <w:u w:val="single"/>
        </w:rPr>
        <w:t>The judicial Power shall extend to all Cases, ‘in Law’</w:t>
      </w:r>
      <w:r w:rsidR="00874B4B">
        <w:rPr>
          <w:sz w:val="24"/>
          <w:szCs w:val="24"/>
        </w:rPr>
        <w:t xml:space="preserve"> and Equity, arising under this Constitution. . .”</w:t>
      </w:r>
    </w:p>
    <w:p w:rsidR="00B66643" w:rsidRDefault="00B66643" w:rsidP="00B66643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7.]</w:t>
      </w:r>
      <w:r>
        <w:rPr>
          <w:sz w:val="24"/>
          <w:szCs w:val="24"/>
        </w:rPr>
        <w:tab/>
      </w:r>
      <w:r>
        <w:rPr>
          <w:sz w:val="24"/>
          <w:szCs w:val="24"/>
        </w:rPr>
        <w:t>STEPHEN L. GRIMM, P.C. request for dismissal of said claims and sanctions on behalf of Reynolds Township Board Members’, are absent of any</w:t>
      </w:r>
      <w:r w:rsidR="00A062B3">
        <w:rPr>
          <w:sz w:val="24"/>
          <w:szCs w:val="24"/>
        </w:rPr>
        <w:t xml:space="preserve"> ‘Contract’ or</w:t>
      </w:r>
      <w:r>
        <w:rPr>
          <w:sz w:val="24"/>
          <w:szCs w:val="24"/>
        </w:rPr>
        <w:t xml:space="preserve"> facts before the court to validate dismissal or sanctions.  </w:t>
      </w:r>
      <w:r w:rsidR="00C32A82">
        <w:rPr>
          <w:sz w:val="24"/>
          <w:szCs w:val="24"/>
        </w:rPr>
        <w:t xml:space="preserve">The ‘Attorney at law’, </w:t>
      </w:r>
      <w:r>
        <w:rPr>
          <w:sz w:val="24"/>
          <w:szCs w:val="24"/>
        </w:rPr>
        <w:t>STEPHEN L. GRIMM, P.C. objections stand ‘mute’</w:t>
      </w:r>
      <w:r w:rsidR="00E238D4">
        <w:rPr>
          <w:sz w:val="24"/>
          <w:szCs w:val="24"/>
        </w:rPr>
        <w:t xml:space="preserve"> and ‘void’</w:t>
      </w:r>
      <w:r>
        <w:rPr>
          <w:sz w:val="24"/>
          <w:szCs w:val="24"/>
        </w:rPr>
        <w:t xml:space="preserve"> in</w:t>
      </w:r>
      <w:r w:rsidR="00A062B3">
        <w:rPr>
          <w:sz w:val="24"/>
          <w:szCs w:val="24"/>
        </w:rPr>
        <w:t xml:space="preserve"> </w:t>
      </w:r>
      <w:r w:rsidR="00E238D4">
        <w:rPr>
          <w:sz w:val="24"/>
          <w:szCs w:val="24"/>
        </w:rPr>
        <w:t>this</w:t>
      </w:r>
      <w:r w:rsidR="00B37D96">
        <w:rPr>
          <w:sz w:val="24"/>
          <w:szCs w:val="24"/>
        </w:rPr>
        <w:t xml:space="preserve"> judicial tribunal ‘Court of Record’</w:t>
      </w:r>
      <w:r w:rsidR="00C32A82">
        <w:rPr>
          <w:sz w:val="24"/>
          <w:szCs w:val="24"/>
        </w:rPr>
        <w:t>,</w:t>
      </w:r>
      <w:r w:rsidR="00A062B3">
        <w:rPr>
          <w:sz w:val="24"/>
          <w:szCs w:val="24"/>
        </w:rPr>
        <w:t xml:space="preserve"> </w:t>
      </w:r>
      <w:r w:rsidR="00B37D96">
        <w:rPr>
          <w:sz w:val="24"/>
          <w:szCs w:val="24"/>
        </w:rPr>
        <w:t>under Article 3, Sec. 2</w:t>
      </w:r>
      <w:r w:rsidR="00C32A82">
        <w:rPr>
          <w:sz w:val="24"/>
          <w:szCs w:val="24"/>
        </w:rPr>
        <w:t xml:space="preserve"> where the ‘judicial Power’ extends to all Cases “in Law”, not </w:t>
      </w:r>
      <w:r w:rsidR="003461F1">
        <w:rPr>
          <w:sz w:val="24"/>
          <w:szCs w:val="24"/>
        </w:rPr>
        <w:t>‘</w:t>
      </w:r>
      <w:r w:rsidR="00C32A82">
        <w:rPr>
          <w:sz w:val="24"/>
          <w:szCs w:val="24"/>
        </w:rPr>
        <w:t>at law</w:t>
      </w:r>
      <w:r w:rsidR="003461F1">
        <w:rPr>
          <w:sz w:val="24"/>
          <w:szCs w:val="24"/>
        </w:rPr>
        <w:t>’</w:t>
      </w:r>
      <w:bookmarkStart w:id="0" w:name="_GoBack"/>
      <w:bookmarkEnd w:id="0"/>
      <w:r w:rsidR="003461F1">
        <w:rPr>
          <w:sz w:val="24"/>
          <w:szCs w:val="24"/>
        </w:rPr>
        <w:t xml:space="preserve"> by an Attorney</w:t>
      </w:r>
      <w:r w:rsidR="00A062B3">
        <w:rPr>
          <w:sz w:val="24"/>
          <w:szCs w:val="24"/>
        </w:rPr>
        <w:t>.</w:t>
      </w:r>
    </w:p>
    <w:p w:rsidR="00C15DA7" w:rsidRDefault="00C15DA7" w:rsidP="00C15DA7">
      <w:pPr>
        <w:pStyle w:val="NoSpacing"/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.]</w:t>
      </w:r>
      <w:r>
        <w:rPr>
          <w:sz w:val="24"/>
          <w:szCs w:val="24"/>
        </w:rPr>
        <w:tab/>
      </w:r>
      <w:r w:rsidRPr="00016CEA">
        <w:rPr>
          <w:b/>
          <w:sz w:val="24"/>
          <w:szCs w:val="24"/>
        </w:rPr>
        <w:t>MCL 750.218</w:t>
      </w:r>
      <w:r>
        <w:rPr>
          <w:sz w:val="24"/>
          <w:szCs w:val="24"/>
        </w:rPr>
        <w:t xml:space="preserve"> </w:t>
      </w:r>
      <w:r w:rsidRPr="00016CEA">
        <w:rPr>
          <w:b/>
          <w:sz w:val="24"/>
          <w:szCs w:val="24"/>
        </w:rPr>
        <w:t>‘False pretenses</w:t>
      </w:r>
      <w:r>
        <w:rPr>
          <w:sz w:val="24"/>
          <w:szCs w:val="24"/>
        </w:rPr>
        <w:t xml:space="preserve"> with intent to defraud’ states in pertinent part, </w:t>
      </w:r>
      <w:r w:rsidRPr="000B4E4C">
        <w:rPr>
          <w:rFonts w:eastAsia="Times New Roman" w:cs="Times New Roman"/>
          <w:sz w:val="24"/>
          <w:szCs w:val="24"/>
        </w:rPr>
        <w:t>(1) A person who, with the intent to defraud or cheat makes or uses a false pretense to do 1 or more of the following is guilty of a crime punishable as provided in this section:</w:t>
      </w:r>
      <w:r>
        <w:rPr>
          <w:rFonts w:eastAsia="Times New Roman" w:cs="Times New Roman"/>
          <w:sz w:val="24"/>
          <w:szCs w:val="24"/>
        </w:rPr>
        <w:t xml:space="preserve"> </w:t>
      </w:r>
      <w:r w:rsidRPr="000B4E4C">
        <w:rPr>
          <w:rFonts w:eastAsia="Times New Roman" w:cs="Times New Roman"/>
          <w:sz w:val="24"/>
          <w:szCs w:val="24"/>
        </w:rPr>
        <w:t>(a) Cause a person to grant, convey, assign, demise, lease, or mortgage land or an interest in land.</w:t>
      </w:r>
    </w:p>
    <w:p w:rsidR="00C15DA7" w:rsidRDefault="00C15DA7" w:rsidP="00C15DA7">
      <w:pPr>
        <w:pStyle w:val="NoSpacing"/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Parag.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Pr="00016CEA">
        <w:rPr>
          <w:rFonts w:eastAsia="Times New Roman" w:cs="Times New Roman"/>
          <w:b/>
          <w:sz w:val="24"/>
          <w:szCs w:val="24"/>
        </w:rPr>
        <w:t>(11)</w:t>
      </w:r>
      <w:r w:rsidRPr="00016CEA">
        <w:rPr>
          <w:rFonts w:eastAsia="Times New Roman" w:cs="Times New Roman"/>
          <w:sz w:val="24"/>
          <w:szCs w:val="24"/>
        </w:rPr>
        <w:t xml:space="preserve"> As used in this section, </w:t>
      </w:r>
      <w:r w:rsidRPr="00016CEA">
        <w:rPr>
          <w:rFonts w:eastAsia="Times New Roman" w:cs="Times New Roman"/>
          <w:b/>
          <w:sz w:val="24"/>
          <w:szCs w:val="24"/>
        </w:rPr>
        <w:t>"false pretense"</w:t>
      </w:r>
      <w:r w:rsidRPr="00016CEA">
        <w:rPr>
          <w:rFonts w:eastAsia="Times New Roman" w:cs="Times New Roman"/>
          <w:sz w:val="24"/>
          <w:szCs w:val="24"/>
        </w:rPr>
        <w:t xml:space="preserve"> includes, but is not limited to, a false or fraudulent representation, writing, communication, statement, or message, communicated by any means to another </w:t>
      </w:r>
      <w:proofErr w:type="gramStart"/>
      <w:r w:rsidRPr="00016CEA">
        <w:rPr>
          <w:rFonts w:eastAsia="Times New Roman" w:cs="Times New Roman"/>
          <w:sz w:val="24"/>
          <w:szCs w:val="24"/>
        </w:rPr>
        <w:t>person, that</w:t>
      </w:r>
      <w:proofErr w:type="gramEnd"/>
      <w:r w:rsidRPr="00016CEA">
        <w:rPr>
          <w:rFonts w:eastAsia="Times New Roman" w:cs="Times New Roman"/>
          <w:sz w:val="24"/>
          <w:szCs w:val="24"/>
        </w:rPr>
        <w:t xml:space="preserve"> the maker of the representation, writing, communication, statement, or message knows is false or fraudulent. The false pretense may be a representation regarding a past or existing fact or circumstance or a representation regarding the intention to perform a future event or to have a future event performed.</w:t>
      </w:r>
    </w:p>
    <w:p w:rsidR="00C32A82" w:rsidRDefault="00C32A82" w:rsidP="00342939">
      <w:pPr>
        <w:pStyle w:val="NoSpacing"/>
        <w:rPr>
          <w:sz w:val="24"/>
          <w:szCs w:val="24"/>
        </w:rPr>
      </w:pPr>
    </w:p>
    <w:p w:rsidR="00C32A82" w:rsidRDefault="00C32A82" w:rsidP="00342939">
      <w:pPr>
        <w:pStyle w:val="NoSpacing"/>
        <w:rPr>
          <w:sz w:val="24"/>
          <w:szCs w:val="24"/>
        </w:rPr>
      </w:pPr>
    </w:p>
    <w:p w:rsidR="00C32A82" w:rsidRDefault="00C32A82" w:rsidP="00342939">
      <w:pPr>
        <w:pStyle w:val="NoSpacing"/>
        <w:rPr>
          <w:sz w:val="24"/>
          <w:szCs w:val="24"/>
        </w:rPr>
      </w:pPr>
    </w:p>
    <w:p w:rsidR="00C32A82" w:rsidRDefault="00C32A82" w:rsidP="00342939">
      <w:pPr>
        <w:pStyle w:val="NoSpacing"/>
        <w:rPr>
          <w:sz w:val="24"/>
          <w:szCs w:val="24"/>
        </w:rPr>
      </w:pPr>
    </w:p>
    <w:p w:rsidR="00C32A82" w:rsidRDefault="00C32A82" w:rsidP="00342939">
      <w:pPr>
        <w:pStyle w:val="NoSpacing"/>
        <w:rPr>
          <w:sz w:val="24"/>
          <w:szCs w:val="24"/>
        </w:rPr>
      </w:pP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  <w:t>“I declare that the statements above are true to the best of my information, knowledge, and belief.”</w:t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                 </w:t>
      </w:r>
    </w:p>
    <w:p w:rsidR="00342939" w:rsidRPr="00342939" w:rsidRDefault="00342939" w:rsidP="00342939">
      <w:pPr>
        <w:pStyle w:val="NoSpacing"/>
        <w:rPr>
          <w:sz w:val="24"/>
          <w:szCs w:val="24"/>
        </w:rPr>
      </w:pP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 By</w:t>
      </w:r>
      <w:proofErr w:type="gramStart"/>
      <w:r w:rsidRPr="00342939">
        <w:rPr>
          <w:sz w:val="24"/>
          <w:szCs w:val="24"/>
        </w:rPr>
        <w:t>:_</w:t>
      </w:r>
      <w:proofErr w:type="gramEnd"/>
      <w:r w:rsidRPr="00342939">
        <w:rPr>
          <w:sz w:val="24"/>
          <w:szCs w:val="24"/>
        </w:rPr>
        <w:t>________________</w:t>
      </w:r>
      <w:r w:rsidRPr="00342939">
        <w:rPr>
          <w:sz w:val="24"/>
          <w:szCs w:val="24"/>
        </w:rPr>
        <w:softHyphen/>
      </w:r>
      <w:r w:rsidRPr="00342939">
        <w:rPr>
          <w:sz w:val="24"/>
          <w:szCs w:val="24"/>
        </w:rPr>
        <w:softHyphen/>
      </w:r>
      <w:r w:rsidRPr="00342939">
        <w:rPr>
          <w:sz w:val="24"/>
          <w:szCs w:val="24"/>
        </w:rPr>
        <w:softHyphen/>
        <w:t>______________________________, Auth. Rep.</w:t>
      </w: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     Andrew Stuart Ouwenga, Sui Juris, Affiant, </w:t>
      </w: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     Secured Party Creditor, Attorney in fact, </w:t>
      </w: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       </w:t>
      </w:r>
      <w:r w:rsidRPr="00342939">
        <w:rPr>
          <w:sz w:val="24"/>
          <w:szCs w:val="24"/>
        </w:rPr>
        <w:tab/>
        <w:t xml:space="preserve">     Michigan National</w:t>
      </w:r>
      <w:r w:rsidRPr="00342939">
        <w:rPr>
          <w:sz w:val="24"/>
          <w:szCs w:val="24"/>
        </w:rPr>
        <w:tab/>
        <w:t xml:space="preserve">                                  </w:t>
      </w: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        </w:t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Mailing Address:  </w:t>
      </w: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>c/o: 10213 Dagget Rd.</w:t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</w:p>
    <w:p w:rsidR="00342939" w:rsidRPr="00342939" w:rsidRDefault="00342939" w:rsidP="00342939">
      <w:pPr>
        <w:pStyle w:val="NoSpacing"/>
        <w:rPr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 xml:space="preserve">         </w:t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</w:r>
      <w:r w:rsidRPr="00342939">
        <w:rPr>
          <w:sz w:val="24"/>
          <w:szCs w:val="24"/>
        </w:rPr>
        <w:tab/>
        <w:t>Howard City, Michigan [49329]</w:t>
      </w:r>
    </w:p>
    <w:p w:rsidR="00342939" w:rsidRPr="00342939" w:rsidRDefault="00342939" w:rsidP="00342939">
      <w:pPr>
        <w:pStyle w:val="NoSpacing"/>
        <w:rPr>
          <w:rFonts w:cs="Times New Roman"/>
          <w:sz w:val="24"/>
          <w:szCs w:val="24"/>
        </w:rPr>
      </w:pPr>
      <w:r w:rsidRPr="00342939">
        <w:rPr>
          <w:rFonts w:cs="Times New Roman"/>
          <w:sz w:val="24"/>
          <w:szCs w:val="24"/>
        </w:rPr>
        <w:t>Cc: Reynolds Township Board Members, Sui juris.</w:t>
      </w:r>
    </w:p>
    <w:p w:rsidR="00342939" w:rsidRPr="00342939" w:rsidRDefault="00342939" w:rsidP="00342939">
      <w:pPr>
        <w:pStyle w:val="NoSpacing"/>
        <w:rPr>
          <w:rFonts w:cs="Times New Roman"/>
          <w:sz w:val="24"/>
          <w:szCs w:val="24"/>
        </w:rPr>
      </w:pPr>
      <w:r w:rsidRPr="00342939">
        <w:rPr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>c/o: 215 E. Edgerton St.</w:t>
      </w:r>
    </w:p>
    <w:p w:rsidR="00342939" w:rsidRPr="00C15DA7" w:rsidRDefault="00342939" w:rsidP="00C15DA7">
      <w:pPr>
        <w:pStyle w:val="NoSpacing"/>
        <w:rPr>
          <w:rFonts w:cs="Times New Roman"/>
          <w:sz w:val="24"/>
          <w:szCs w:val="24"/>
        </w:rPr>
      </w:pPr>
      <w:r w:rsidRPr="00342939">
        <w:rPr>
          <w:rFonts w:ascii="Calibri" w:hAnsi="Calibri" w:cs="Calibri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>Howard City, Mich. [49329]</w:t>
      </w:r>
      <w:r w:rsidRPr="00342939">
        <w:rPr>
          <w:rFonts w:ascii="Calibri" w:hAnsi="Calibri" w:cs="Calibri"/>
          <w:sz w:val="24"/>
          <w:szCs w:val="24"/>
        </w:rPr>
        <w:tab/>
      </w:r>
      <w:r w:rsidRPr="00342939">
        <w:rPr>
          <w:rFonts w:ascii="Calibri" w:hAnsi="Calibri" w:cs="Calibri"/>
          <w:sz w:val="24"/>
          <w:szCs w:val="24"/>
        </w:rPr>
        <w:tab/>
      </w:r>
      <w:r w:rsidRPr="00342939">
        <w:rPr>
          <w:rFonts w:ascii="Calibri" w:hAnsi="Calibri" w:cs="Calibri"/>
          <w:sz w:val="24"/>
          <w:szCs w:val="24"/>
        </w:rPr>
        <w:tab/>
      </w:r>
      <w:r w:rsidRPr="00342939">
        <w:rPr>
          <w:rFonts w:ascii="Calibri" w:hAnsi="Calibri" w:cs="Calibri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>Common Law Right</w:t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</w:r>
      <w:r w:rsidRPr="00342939">
        <w:rPr>
          <w:rFonts w:cs="Times New Roman"/>
          <w:sz w:val="24"/>
          <w:szCs w:val="24"/>
        </w:rPr>
        <w:tab/>
        <w:t xml:space="preserve"> </w:t>
      </w:r>
      <w:r w:rsidRPr="00342939">
        <w:rPr>
          <w:rFonts w:cs="Times New Roman"/>
          <w:sz w:val="24"/>
          <w:szCs w:val="24"/>
        </w:rPr>
        <w:tab/>
        <w:t>Thumb Print Seal: -- &gt;</w:t>
      </w:r>
    </w:p>
    <w:sectPr w:rsidR="00342939" w:rsidRPr="00C15D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BB" w:rsidRDefault="001F4DBB" w:rsidP="00C32A82">
      <w:pPr>
        <w:spacing w:after="0" w:line="240" w:lineRule="auto"/>
      </w:pPr>
      <w:r>
        <w:separator/>
      </w:r>
    </w:p>
  </w:endnote>
  <w:endnote w:type="continuationSeparator" w:id="0">
    <w:p w:rsidR="001F4DBB" w:rsidRDefault="001F4DBB" w:rsidP="00C3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2" w:rsidRDefault="00C32A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Response to the Fraudulent conversion of Common Law Venue.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61F1" w:rsidRPr="003461F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4</w:t>
    </w:r>
  </w:p>
  <w:p w:rsidR="00C32A82" w:rsidRDefault="00C3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BB" w:rsidRDefault="001F4DBB" w:rsidP="00C32A82">
      <w:pPr>
        <w:spacing w:after="0" w:line="240" w:lineRule="auto"/>
      </w:pPr>
      <w:r>
        <w:separator/>
      </w:r>
    </w:p>
  </w:footnote>
  <w:footnote w:type="continuationSeparator" w:id="0">
    <w:p w:rsidR="001F4DBB" w:rsidRDefault="001F4DBB" w:rsidP="00C3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6A"/>
    <w:rsid w:val="000C3D6A"/>
    <w:rsid w:val="001F4DBB"/>
    <w:rsid w:val="0024554D"/>
    <w:rsid w:val="00342939"/>
    <w:rsid w:val="003461F1"/>
    <w:rsid w:val="004F0228"/>
    <w:rsid w:val="007863DD"/>
    <w:rsid w:val="00874B4B"/>
    <w:rsid w:val="008B303C"/>
    <w:rsid w:val="00A062B3"/>
    <w:rsid w:val="00A83212"/>
    <w:rsid w:val="00B33BE3"/>
    <w:rsid w:val="00B37D96"/>
    <w:rsid w:val="00B66643"/>
    <w:rsid w:val="00C15DA7"/>
    <w:rsid w:val="00C32A82"/>
    <w:rsid w:val="00CF397C"/>
    <w:rsid w:val="00D1100A"/>
    <w:rsid w:val="00DA444C"/>
    <w:rsid w:val="00E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82"/>
  </w:style>
  <w:style w:type="paragraph" w:styleId="Footer">
    <w:name w:val="footer"/>
    <w:basedOn w:val="Normal"/>
    <w:link w:val="FooterChar"/>
    <w:uiPriority w:val="99"/>
    <w:unhideWhenUsed/>
    <w:rsid w:val="00C3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82"/>
  </w:style>
  <w:style w:type="paragraph" w:styleId="BalloonText">
    <w:name w:val="Balloon Text"/>
    <w:basedOn w:val="Normal"/>
    <w:link w:val="BalloonTextChar"/>
    <w:uiPriority w:val="99"/>
    <w:semiHidden/>
    <w:unhideWhenUsed/>
    <w:rsid w:val="00C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82"/>
  </w:style>
  <w:style w:type="paragraph" w:styleId="Footer">
    <w:name w:val="footer"/>
    <w:basedOn w:val="Normal"/>
    <w:link w:val="FooterChar"/>
    <w:uiPriority w:val="99"/>
    <w:unhideWhenUsed/>
    <w:rsid w:val="00C3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82"/>
  </w:style>
  <w:style w:type="paragraph" w:styleId="BalloonText">
    <w:name w:val="Balloon Text"/>
    <w:basedOn w:val="Normal"/>
    <w:link w:val="BalloonTextChar"/>
    <w:uiPriority w:val="99"/>
    <w:semiHidden/>
    <w:unhideWhenUsed/>
    <w:rsid w:val="00C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2017-05-12T21:55:00Z</dcterms:created>
  <dcterms:modified xsi:type="dcterms:W3CDTF">2017-05-13T02:54:00Z</dcterms:modified>
</cp:coreProperties>
</file>