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CC" w:rsidRDefault="00105FCC" w:rsidP="00105FCC">
      <w:pPr>
        <w:spacing w:after="0" w:line="240" w:lineRule="auto"/>
        <w:jc w:val="center"/>
        <w:rPr>
          <w:rFonts w:eastAsia="Times New Roman" w:cs="Times New Roman"/>
          <w:sz w:val="32"/>
          <w:szCs w:val="32"/>
        </w:rPr>
      </w:pPr>
      <w:r>
        <w:rPr>
          <w:rFonts w:eastAsia="Times New Roman" w:cs="Times New Roman"/>
          <w:sz w:val="32"/>
          <w:szCs w:val="32"/>
        </w:rPr>
        <w:t xml:space="preserve">Article 3, </w:t>
      </w:r>
    </w:p>
    <w:p w:rsidR="00105FCC" w:rsidRPr="004E7550" w:rsidRDefault="00105FCC" w:rsidP="00105FCC">
      <w:pPr>
        <w:spacing w:after="0" w:line="240" w:lineRule="auto"/>
        <w:jc w:val="center"/>
        <w:rPr>
          <w:rFonts w:eastAsia="Times New Roman" w:cs="Times New Roman"/>
          <w:sz w:val="32"/>
          <w:szCs w:val="32"/>
        </w:rPr>
      </w:pPr>
      <w:r>
        <w:rPr>
          <w:rFonts w:eastAsia="Times New Roman" w:cs="Times New Roman"/>
          <w:sz w:val="32"/>
          <w:szCs w:val="32"/>
        </w:rPr>
        <w:t xml:space="preserve">Superior Common law </w:t>
      </w:r>
      <w:r w:rsidRPr="00082A81">
        <w:rPr>
          <w:rFonts w:eastAsia="Times New Roman" w:cs="Times New Roman"/>
          <w:sz w:val="32"/>
          <w:szCs w:val="32"/>
        </w:rPr>
        <w:t>Court of Record</w:t>
      </w:r>
      <w:r>
        <w:rPr>
          <w:rFonts w:eastAsia="Times New Roman" w:cs="Times New Roman"/>
          <w:sz w:val="32"/>
          <w:szCs w:val="32"/>
        </w:rPr>
        <w:t xml:space="preserve">, </w:t>
      </w:r>
    </w:p>
    <w:p w:rsidR="00105FCC" w:rsidRPr="00082A81" w:rsidRDefault="00105FCC" w:rsidP="00105FCC">
      <w:pPr>
        <w:spacing w:after="0" w:line="240" w:lineRule="auto"/>
        <w:jc w:val="center"/>
        <w:rPr>
          <w:rFonts w:eastAsia="Times New Roman" w:cs="Times New Roman"/>
          <w:sz w:val="32"/>
          <w:szCs w:val="32"/>
        </w:rPr>
      </w:pPr>
      <w:r>
        <w:rPr>
          <w:rFonts w:eastAsia="Times New Roman" w:cs="Times New Roman"/>
          <w:sz w:val="32"/>
          <w:szCs w:val="32"/>
        </w:rPr>
        <w:t>Montcalm County Venue</w:t>
      </w:r>
    </w:p>
    <w:p w:rsidR="00105FCC" w:rsidRPr="00FC18FF" w:rsidRDefault="00105FCC" w:rsidP="00105FCC">
      <w:pPr>
        <w:spacing w:after="0" w:line="240" w:lineRule="auto"/>
        <w:jc w:val="center"/>
        <w:rPr>
          <w:rFonts w:eastAsia="Times New Roman" w:cs="Times New Roman"/>
          <w:sz w:val="24"/>
          <w:szCs w:val="24"/>
        </w:rPr>
      </w:pPr>
      <w:r w:rsidRPr="00FC18FF">
        <w:rPr>
          <w:rFonts w:eastAsia="Times New Roman" w:cs="Times New Roman"/>
          <w:sz w:val="24"/>
          <w:szCs w:val="24"/>
        </w:rPr>
        <w:t>MRE Rule 202</w:t>
      </w:r>
    </w:p>
    <w:p w:rsidR="00105FCC" w:rsidRPr="00EC1C5A" w:rsidRDefault="00105FCC" w:rsidP="00105FCC">
      <w:pPr>
        <w:spacing w:after="0" w:line="240" w:lineRule="auto"/>
        <w:jc w:val="center"/>
        <w:rPr>
          <w:rFonts w:eastAsia="Times New Roman" w:cs="Times New Roman"/>
          <w:b/>
          <w:sz w:val="28"/>
          <w:szCs w:val="20"/>
          <w:u w:val="single"/>
        </w:rPr>
      </w:pPr>
    </w:p>
    <w:p w:rsidR="00105FCC" w:rsidRPr="00104D64" w:rsidRDefault="00105FCC" w:rsidP="00105FCC">
      <w:pPr>
        <w:spacing w:after="0" w:line="240" w:lineRule="auto"/>
        <w:jc w:val="center"/>
        <w:rPr>
          <w:rFonts w:ascii="Times" w:eastAsia="Times New Roman" w:hAnsi="Times" w:cs="Times New Roman"/>
          <w:b/>
          <w:sz w:val="24"/>
          <w:szCs w:val="20"/>
        </w:rPr>
      </w:pPr>
    </w:p>
    <w:p w:rsidR="00105FCC" w:rsidRPr="00321715" w:rsidRDefault="00105FCC" w:rsidP="00105FCC">
      <w:pPr>
        <w:pStyle w:val="NoSpacing"/>
        <w:rPr>
          <w:sz w:val="24"/>
          <w:szCs w:val="24"/>
        </w:rPr>
      </w:pPr>
      <w:r w:rsidRPr="00321715">
        <w:rPr>
          <w:sz w:val="24"/>
          <w:szCs w:val="24"/>
        </w:rPr>
        <w:t>Andrew Stuart Ouwenga, Sui Juris</w:t>
      </w:r>
      <w:r w:rsidRPr="00321715">
        <w:rPr>
          <w:sz w:val="24"/>
          <w:szCs w:val="24"/>
        </w:rPr>
        <w:tab/>
      </w:r>
      <w:r w:rsidRPr="00321715">
        <w:rPr>
          <w:sz w:val="24"/>
          <w:szCs w:val="24"/>
        </w:rPr>
        <w:tab/>
      </w:r>
      <w:r w:rsidRPr="00321715">
        <w:rPr>
          <w:sz w:val="24"/>
          <w:szCs w:val="24"/>
        </w:rPr>
        <w:tab/>
        <w:t xml:space="preserve">                Case No. </w:t>
      </w:r>
      <w:r>
        <w:rPr>
          <w:sz w:val="24"/>
          <w:szCs w:val="24"/>
        </w:rPr>
        <w:t>17-S-22652-CK</w:t>
      </w:r>
    </w:p>
    <w:p w:rsidR="00105FCC" w:rsidRPr="00321715" w:rsidRDefault="00105FCC" w:rsidP="00105FCC">
      <w:pPr>
        <w:pStyle w:val="NoSpacing"/>
        <w:rPr>
          <w:sz w:val="24"/>
          <w:szCs w:val="24"/>
        </w:rPr>
      </w:pPr>
    </w:p>
    <w:p w:rsidR="00105FCC" w:rsidRPr="00321715" w:rsidRDefault="00105FCC" w:rsidP="00105FCC">
      <w:pPr>
        <w:pStyle w:val="NoSpacing"/>
        <w:rPr>
          <w:sz w:val="24"/>
          <w:szCs w:val="24"/>
        </w:rPr>
      </w:pPr>
      <w:r w:rsidRPr="00321715">
        <w:rPr>
          <w:sz w:val="24"/>
          <w:szCs w:val="24"/>
        </w:rPr>
        <w:tab/>
        <w:t>Grievant,</w:t>
      </w:r>
      <w:r w:rsidRPr="00321715">
        <w:rPr>
          <w:sz w:val="24"/>
          <w:szCs w:val="24"/>
        </w:rPr>
        <w:tab/>
      </w:r>
      <w:r w:rsidRPr="00321715">
        <w:rPr>
          <w:sz w:val="24"/>
          <w:szCs w:val="24"/>
        </w:rPr>
        <w:tab/>
      </w:r>
      <w:r w:rsidRPr="00321715">
        <w:rPr>
          <w:sz w:val="24"/>
          <w:szCs w:val="24"/>
        </w:rPr>
        <w:tab/>
      </w:r>
    </w:p>
    <w:p w:rsidR="00105FCC" w:rsidRPr="00321715" w:rsidRDefault="00105FCC" w:rsidP="00105FCC">
      <w:pPr>
        <w:pStyle w:val="NoSpacing"/>
        <w:rPr>
          <w:sz w:val="24"/>
          <w:szCs w:val="24"/>
        </w:rPr>
      </w:pP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Pr>
          <w:sz w:val="24"/>
          <w:szCs w:val="24"/>
        </w:rPr>
        <w:tab/>
        <w:t xml:space="preserve">                        </w:t>
      </w:r>
      <w:proofErr w:type="gramStart"/>
      <w:r w:rsidRPr="00321715">
        <w:rPr>
          <w:sz w:val="24"/>
          <w:szCs w:val="24"/>
        </w:rPr>
        <w:t>Hon.</w:t>
      </w:r>
      <w:proofErr w:type="gramEnd"/>
      <w:r w:rsidRPr="00321715">
        <w:rPr>
          <w:sz w:val="24"/>
          <w:szCs w:val="24"/>
        </w:rPr>
        <w:t xml:space="preserve">  </w:t>
      </w:r>
      <w:r>
        <w:rPr>
          <w:sz w:val="24"/>
          <w:szCs w:val="24"/>
        </w:rPr>
        <w:t xml:space="preserve">  __</w:t>
      </w:r>
      <w:r>
        <w:rPr>
          <w:sz w:val="24"/>
          <w:szCs w:val="24"/>
          <w:u w:val="single"/>
        </w:rPr>
        <w:t xml:space="preserve">Ronald J. Schafer_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1715">
        <w:rPr>
          <w:rFonts w:cstheme="minorHAnsi"/>
          <w:sz w:val="24"/>
          <w:szCs w:val="24"/>
        </w:rPr>
        <w:t xml:space="preserve">    </w:t>
      </w:r>
      <w:r>
        <w:rPr>
          <w:rFonts w:cstheme="minorHAnsi"/>
          <w:sz w:val="24"/>
          <w:szCs w:val="24"/>
        </w:rPr>
        <w:t xml:space="preserve">                      Judge/</w:t>
      </w:r>
      <w:r w:rsidRPr="00321715">
        <w:rPr>
          <w:rFonts w:cstheme="minorHAnsi"/>
          <w:sz w:val="24"/>
          <w:szCs w:val="24"/>
        </w:rPr>
        <w:t>Magistrate</w:t>
      </w:r>
    </w:p>
    <w:p w:rsidR="00105FCC" w:rsidRPr="00321715" w:rsidRDefault="00105FCC" w:rsidP="00105FCC">
      <w:pPr>
        <w:pStyle w:val="NoSpacing"/>
        <w:rPr>
          <w:rFonts w:cstheme="minorHAnsi"/>
          <w:sz w:val="24"/>
          <w:szCs w:val="24"/>
        </w:rPr>
      </w:pPr>
      <w:r w:rsidRPr="00321715">
        <w:rPr>
          <w:rFonts w:cstheme="minorHAnsi"/>
          <w:sz w:val="24"/>
          <w:szCs w:val="24"/>
        </w:rPr>
        <w:tab/>
      </w:r>
      <w:proofErr w:type="gramStart"/>
      <w:r w:rsidRPr="00321715">
        <w:rPr>
          <w:sz w:val="24"/>
          <w:szCs w:val="24"/>
        </w:rPr>
        <w:t>vs</w:t>
      </w:r>
      <w:proofErr w:type="gramEnd"/>
      <w:r w:rsidRPr="00321715">
        <w:rPr>
          <w:sz w:val="24"/>
          <w:szCs w:val="24"/>
        </w:rPr>
        <w:t>.</w:t>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p>
    <w:p w:rsidR="00105FCC" w:rsidRPr="00321715" w:rsidRDefault="00105FCC" w:rsidP="00105FCC">
      <w:pPr>
        <w:pStyle w:val="NoSpacing"/>
        <w:rPr>
          <w:sz w:val="24"/>
          <w:szCs w:val="24"/>
        </w:rPr>
      </w:pP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p>
    <w:p w:rsidR="00105FCC" w:rsidRPr="002F3EC5" w:rsidRDefault="00105FCC" w:rsidP="00105FCC">
      <w:pPr>
        <w:pStyle w:val="NoSpacing"/>
        <w:rPr>
          <w:sz w:val="24"/>
          <w:szCs w:val="24"/>
        </w:rPr>
      </w:pPr>
      <w:r w:rsidRPr="002F3EC5">
        <w:rPr>
          <w:sz w:val="24"/>
          <w:szCs w:val="24"/>
        </w:rPr>
        <w:t>Reynold</w:t>
      </w:r>
      <w:r>
        <w:rPr>
          <w:sz w:val="24"/>
          <w:szCs w:val="24"/>
        </w:rPr>
        <w:t>s</w:t>
      </w:r>
      <w:r w:rsidRPr="002F3EC5">
        <w:rPr>
          <w:sz w:val="24"/>
          <w:szCs w:val="24"/>
        </w:rPr>
        <w:t xml:space="preserve"> Township Board</w:t>
      </w:r>
      <w:r w:rsidRPr="002F3EC5">
        <w:rPr>
          <w:sz w:val="24"/>
          <w:szCs w:val="24"/>
        </w:rPr>
        <w:tab/>
      </w:r>
      <w:r w:rsidRPr="002F3EC5">
        <w:rPr>
          <w:sz w:val="24"/>
          <w:szCs w:val="24"/>
        </w:rPr>
        <w:tab/>
        <w:t xml:space="preserve">      </w:t>
      </w:r>
      <w:r w:rsidRPr="002F3EC5">
        <w:rPr>
          <w:sz w:val="24"/>
          <w:szCs w:val="24"/>
        </w:rPr>
        <w:tab/>
      </w:r>
      <w:r w:rsidRPr="002F3EC5">
        <w:rPr>
          <w:sz w:val="24"/>
          <w:szCs w:val="24"/>
        </w:rPr>
        <w:tab/>
        <w:t xml:space="preserve">        Re: Tacit Agreement by ‘Default’.</w:t>
      </w:r>
    </w:p>
    <w:p w:rsidR="00105FCC" w:rsidRPr="00321715" w:rsidRDefault="00105FCC" w:rsidP="00105FCC">
      <w:pPr>
        <w:pStyle w:val="NoSpacing"/>
        <w:rPr>
          <w:sz w:val="24"/>
          <w:szCs w:val="24"/>
        </w:rPr>
      </w:pPr>
      <w:proofErr w:type="gramStart"/>
      <w:r w:rsidRPr="002F3EC5">
        <w:rPr>
          <w:sz w:val="24"/>
          <w:szCs w:val="24"/>
        </w:rPr>
        <w:t>Members, Sui Juris, et al.</w:t>
      </w:r>
      <w:proofErr w:type="gramEnd"/>
      <w:r w:rsidRPr="00321715">
        <w:rPr>
          <w:sz w:val="24"/>
          <w:szCs w:val="24"/>
        </w:rPr>
        <w:tab/>
      </w:r>
      <w:r w:rsidRPr="00321715">
        <w:rPr>
          <w:sz w:val="24"/>
          <w:szCs w:val="24"/>
        </w:rPr>
        <w:tab/>
      </w:r>
      <w:r w:rsidRPr="00321715">
        <w:rPr>
          <w:sz w:val="24"/>
          <w:szCs w:val="24"/>
        </w:rPr>
        <w:tab/>
      </w:r>
      <w:r w:rsidRPr="00321715">
        <w:rPr>
          <w:sz w:val="24"/>
          <w:szCs w:val="24"/>
        </w:rPr>
        <w:tab/>
        <w:t xml:space="preserve">               MCL </w:t>
      </w:r>
      <w:r w:rsidRPr="00321715">
        <w:rPr>
          <w:rFonts w:ascii="Times New Roman" w:eastAsia="Times New Roman" w:hAnsi="Times New Roman" w:cs="Times New Roman"/>
          <w:bCs/>
          <w:sz w:val="24"/>
          <w:szCs w:val="24"/>
        </w:rPr>
        <w:t>440.3601,</w:t>
      </w:r>
      <w:r w:rsidRPr="00321715">
        <w:rPr>
          <w:sz w:val="24"/>
          <w:szCs w:val="24"/>
        </w:rPr>
        <w:t xml:space="preserve">   NIHIL DICIT                                      </w:t>
      </w:r>
    </w:p>
    <w:p w:rsidR="00105FCC" w:rsidRPr="00321715" w:rsidRDefault="00105FCC" w:rsidP="00105FCC">
      <w:pPr>
        <w:pStyle w:val="NoSpacing"/>
        <w:rPr>
          <w:sz w:val="24"/>
          <w:szCs w:val="24"/>
        </w:rPr>
      </w:pPr>
    </w:p>
    <w:p w:rsidR="00105FCC" w:rsidRPr="00321715" w:rsidRDefault="00105FCC" w:rsidP="00105FCC">
      <w:pPr>
        <w:pStyle w:val="NoSpacing"/>
        <w:rPr>
          <w:sz w:val="24"/>
          <w:szCs w:val="24"/>
        </w:rPr>
      </w:pPr>
      <w:r w:rsidRPr="00321715">
        <w:rPr>
          <w:sz w:val="24"/>
          <w:szCs w:val="24"/>
        </w:rPr>
        <w:tab/>
      </w:r>
      <w:proofErr w:type="gramStart"/>
      <w:r w:rsidRPr="00321715">
        <w:rPr>
          <w:sz w:val="24"/>
          <w:szCs w:val="24"/>
        </w:rPr>
        <w:t>Respondents.</w:t>
      </w:r>
      <w:proofErr w:type="gramEnd"/>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rFonts w:eastAsia="Times New Roman"/>
          <w:sz w:val="24"/>
          <w:szCs w:val="24"/>
        </w:rPr>
        <w:tab/>
      </w:r>
      <w:r w:rsidRPr="00321715">
        <w:rPr>
          <w:rFonts w:eastAsia="Times New Roman"/>
          <w:sz w:val="24"/>
          <w:szCs w:val="24"/>
        </w:rPr>
        <w:tab/>
      </w:r>
      <w:r w:rsidRPr="00321715">
        <w:rPr>
          <w:rFonts w:eastAsia="Times New Roman"/>
          <w:sz w:val="24"/>
          <w:szCs w:val="24"/>
        </w:rPr>
        <w:tab/>
      </w:r>
      <w:r w:rsidRPr="00321715">
        <w:rPr>
          <w:rFonts w:eastAsia="Times New Roman"/>
          <w:sz w:val="24"/>
          <w:szCs w:val="24"/>
        </w:rPr>
        <w:tab/>
      </w:r>
    </w:p>
    <w:p w:rsidR="00105FCC" w:rsidRPr="009E4731" w:rsidRDefault="00105FCC" w:rsidP="00105FCC">
      <w:pPr>
        <w:pStyle w:val="NoSpacing"/>
        <w:rPr>
          <w:rFonts w:eastAsia="Times New Roman"/>
        </w:rPr>
      </w:pPr>
      <w:r w:rsidRPr="00321715">
        <w:rPr>
          <w:rFonts w:eastAsia="Times New Roman"/>
          <w:sz w:val="24"/>
          <w:szCs w:val="24"/>
        </w:rPr>
        <w:t>_____________________________/</w:t>
      </w:r>
      <w:r w:rsidRPr="00321715">
        <w:rPr>
          <w:rFonts w:eastAsia="Times New Roman"/>
        </w:rPr>
        <w:tab/>
      </w:r>
      <w:r w:rsidRPr="009E4731">
        <w:rPr>
          <w:rFonts w:eastAsia="Times New Roman"/>
        </w:rPr>
        <w:tab/>
      </w:r>
    </w:p>
    <w:p w:rsidR="00BA600F" w:rsidRDefault="00B658A3" w:rsidP="00105FCC">
      <w:pPr>
        <w:rPr>
          <w:rFonts w:eastAsia="Times New Roman" w:cstheme="minorHAnsi"/>
          <w:sz w:val="24"/>
          <w:szCs w:val="24"/>
        </w:rPr>
      </w:pPr>
      <w:r>
        <w:rPr>
          <w:rFonts w:eastAsia="Times New Roman" w:cstheme="minorHAnsi"/>
          <w:sz w:val="24"/>
          <w:szCs w:val="24"/>
        </w:rPr>
        <w:t>05/20</w:t>
      </w:r>
      <w:r w:rsidR="00105FCC">
        <w:rPr>
          <w:rFonts w:eastAsia="Times New Roman" w:cstheme="minorHAnsi"/>
          <w:sz w:val="24"/>
          <w:szCs w:val="24"/>
        </w:rPr>
        <w:t>/2017</w:t>
      </w:r>
      <w:r w:rsidR="00105FCC" w:rsidRPr="009E4731">
        <w:rPr>
          <w:rFonts w:eastAsia="Times New Roman" w:cstheme="minorHAnsi"/>
          <w:sz w:val="24"/>
          <w:szCs w:val="24"/>
        </w:rPr>
        <w:tab/>
      </w:r>
      <w:r w:rsidR="00105FCC" w:rsidRPr="009E4731">
        <w:rPr>
          <w:rFonts w:eastAsia="Times New Roman" w:cstheme="minorHAnsi"/>
          <w:sz w:val="24"/>
          <w:szCs w:val="24"/>
        </w:rPr>
        <w:tab/>
      </w:r>
      <w:r w:rsidR="00105FCC" w:rsidRPr="009E4731">
        <w:rPr>
          <w:rFonts w:eastAsia="Times New Roman" w:cstheme="minorHAnsi"/>
          <w:sz w:val="24"/>
          <w:szCs w:val="24"/>
        </w:rPr>
        <w:tab/>
      </w:r>
    </w:p>
    <w:p w:rsidR="00105FCC" w:rsidRDefault="00105FCC" w:rsidP="00105FCC">
      <w:pPr>
        <w:rPr>
          <w:rFonts w:eastAsia="Times New Roman" w:cstheme="minorHAnsi"/>
          <w:sz w:val="24"/>
          <w:szCs w:val="24"/>
        </w:rPr>
      </w:pPr>
    </w:p>
    <w:p w:rsidR="00105FCC" w:rsidRPr="00B658A3" w:rsidRDefault="00EA5279" w:rsidP="00105FCC">
      <w:pPr>
        <w:pStyle w:val="NoSpacing"/>
        <w:jc w:val="center"/>
        <w:rPr>
          <w:b/>
          <w:sz w:val="28"/>
          <w:szCs w:val="28"/>
        </w:rPr>
      </w:pPr>
      <w:r>
        <w:rPr>
          <w:b/>
          <w:sz w:val="28"/>
          <w:szCs w:val="28"/>
        </w:rPr>
        <w:t>ORDER</w:t>
      </w:r>
      <w:r w:rsidR="00105FCC" w:rsidRPr="00B658A3">
        <w:rPr>
          <w:b/>
          <w:sz w:val="28"/>
          <w:szCs w:val="28"/>
        </w:rPr>
        <w:t xml:space="preserve"> FOR IN CAMERA HEARING</w:t>
      </w:r>
    </w:p>
    <w:p w:rsidR="00105FCC" w:rsidRDefault="00105FCC" w:rsidP="00105FCC">
      <w:pPr>
        <w:pStyle w:val="NoSpacing"/>
        <w:jc w:val="center"/>
      </w:pPr>
      <w:r>
        <w:t>18USC Sec. 6 (a)</w:t>
      </w:r>
    </w:p>
    <w:p w:rsidR="00B658A3" w:rsidRDefault="00B658A3" w:rsidP="00105FCC">
      <w:pPr>
        <w:pStyle w:val="NoSpacing"/>
        <w:jc w:val="center"/>
      </w:pPr>
      <w:r>
        <w:t>By Affidavit</w:t>
      </w:r>
    </w:p>
    <w:p w:rsidR="00105FCC" w:rsidRDefault="00105FCC" w:rsidP="00105FCC">
      <w:pPr>
        <w:jc w:val="center"/>
        <w:rPr>
          <w:rFonts w:eastAsia="Times New Roman" w:cstheme="minorHAnsi"/>
          <w:sz w:val="24"/>
          <w:szCs w:val="24"/>
        </w:rPr>
      </w:pPr>
    </w:p>
    <w:p w:rsidR="0038476B" w:rsidRDefault="00105FCC" w:rsidP="00105FCC">
      <w:pPr>
        <w:spacing w:line="480" w:lineRule="auto"/>
        <w:jc w:val="both"/>
        <w:rPr>
          <w:sz w:val="24"/>
          <w:szCs w:val="24"/>
        </w:rPr>
      </w:pPr>
      <w:r w:rsidRPr="00AB34F5">
        <w:rPr>
          <w:rFonts w:cstheme="minorHAnsi"/>
          <w:b/>
          <w:sz w:val="24"/>
          <w:szCs w:val="24"/>
        </w:rPr>
        <w:t>FACTS:</w:t>
      </w:r>
      <w:r>
        <w:rPr>
          <w:rFonts w:cstheme="minorHAnsi"/>
          <w:sz w:val="24"/>
          <w:szCs w:val="24"/>
        </w:rPr>
        <w:t xml:space="preserve"> </w:t>
      </w:r>
      <w:r>
        <w:rPr>
          <w:rFonts w:cstheme="minorHAnsi"/>
          <w:sz w:val="24"/>
          <w:szCs w:val="24"/>
        </w:rPr>
        <w:tab/>
        <w:t>I, Andrew Stuart: Ouwenga, here in the Grievant; ‘Private Attorney General’</w:t>
      </w:r>
      <w:r w:rsidR="00B658A3">
        <w:rPr>
          <w:rFonts w:cstheme="minorHAnsi"/>
          <w:sz w:val="24"/>
          <w:szCs w:val="24"/>
        </w:rPr>
        <w:t>,</w:t>
      </w:r>
      <w:r>
        <w:rPr>
          <w:rFonts w:cstheme="minorHAnsi"/>
          <w:sz w:val="24"/>
          <w:szCs w:val="24"/>
        </w:rPr>
        <w:t xml:space="preserve"> the ‘Attorney in Fact’, am here by special appearance </w:t>
      </w:r>
      <w:r>
        <w:rPr>
          <w:sz w:val="24"/>
          <w:szCs w:val="24"/>
        </w:rPr>
        <w:t>and hereby evoke the common law jurisdiction of the Court, as secured by the Northwest Territorial Ordinance of July 13, 1787 Article II and the 1963 constitution for “The State Of Michigan” Article I section 23.</w:t>
      </w:r>
    </w:p>
    <w:p w:rsidR="004D175D" w:rsidRDefault="000A5889" w:rsidP="004D175D">
      <w:pPr>
        <w:spacing w:line="480" w:lineRule="auto"/>
        <w:jc w:val="both"/>
        <w:rPr>
          <w:rFonts w:cstheme="minorHAnsi"/>
          <w:sz w:val="24"/>
          <w:szCs w:val="24"/>
        </w:rPr>
      </w:pPr>
      <w:r>
        <w:rPr>
          <w:sz w:val="24"/>
          <w:szCs w:val="24"/>
        </w:rPr>
        <w:t>1.]</w:t>
      </w:r>
      <w:r w:rsidR="0038476B">
        <w:rPr>
          <w:sz w:val="24"/>
          <w:szCs w:val="24"/>
        </w:rPr>
        <w:tab/>
        <w:t>This request is for ‘classified information’ that has been</w:t>
      </w:r>
      <w:r w:rsidR="008C010C">
        <w:rPr>
          <w:sz w:val="24"/>
          <w:szCs w:val="24"/>
        </w:rPr>
        <w:t xml:space="preserve"> used and</w:t>
      </w:r>
      <w:r w:rsidR="0038476B">
        <w:rPr>
          <w:sz w:val="24"/>
          <w:szCs w:val="24"/>
        </w:rPr>
        <w:t xml:space="preserve"> secured by the Reynolds Township Board Member that validates the ‘bills’</w:t>
      </w:r>
      <w:r w:rsidR="0038476B">
        <w:rPr>
          <w:rFonts w:cstheme="minorHAnsi"/>
          <w:sz w:val="24"/>
          <w:szCs w:val="24"/>
        </w:rPr>
        <w:t xml:space="preserve"> that the Grievant </w:t>
      </w:r>
      <w:r w:rsidR="00BC33FD">
        <w:rPr>
          <w:rFonts w:cstheme="minorHAnsi"/>
          <w:sz w:val="24"/>
          <w:szCs w:val="24"/>
        </w:rPr>
        <w:t>is</w:t>
      </w:r>
      <w:r w:rsidR="0038476B">
        <w:rPr>
          <w:rFonts w:cstheme="minorHAnsi"/>
          <w:sz w:val="24"/>
          <w:szCs w:val="24"/>
        </w:rPr>
        <w:t xml:space="preserve"> in receipt of.  </w:t>
      </w:r>
    </w:p>
    <w:p w:rsidR="004D175D" w:rsidRDefault="004D175D" w:rsidP="004D175D">
      <w:pPr>
        <w:spacing w:line="480" w:lineRule="auto"/>
        <w:jc w:val="both"/>
        <w:rPr>
          <w:rFonts w:cstheme="minorHAnsi"/>
          <w:sz w:val="24"/>
          <w:szCs w:val="24"/>
        </w:rPr>
      </w:pPr>
    </w:p>
    <w:p w:rsidR="00F55D5B" w:rsidRPr="001B0221" w:rsidRDefault="00F77501" w:rsidP="004D175D">
      <w:pPr>
        <w:spacing w:line="480" w:lineRule="auto"/>
        <w:jc w:val="both"/>
        <w:rPr>
          <w:rFonts w:eastAsia="Times New Roman" w:cs="Times New Roman"/>
          <w:sz w:val="24"/>
          <w:szCs w:val="24"/>
          <w:u w:val="single"/>
        </w:rPr>
      </w:pPr>
      <w:r>
        <w:rPr>
          <w:rFonts w:cstheme="minorHAnsi"/>
          <w:sz w:val="24"/>
          <w:szCs w:val="24"/>
        </w:rPr>
        <w:lastRenderedPageBreak/>
        <w:t>2.]</w:t>
      </w:r>
      <w:r>
        <w:rPr>
          <w:rFonts w:cstheme="minorHAnsi"/>
          <w:sz w:val="24"/>
          <w:szCs w:val="24"/>
        </w:rPr>
        <w:tab/>
        <w:t>Furthermore, this request is for ‘classified information’</w:t>
      </w:r>
      <w:r w:rsidR="00536CFE">
        <w:rPr>
          <w:rFonts w:cstheme="minorHAnsi"/>
          <w:sz w:val="24"/>
          <w:szCs w:val="24"/>
        </w:rPr>
        <w:t xml:space="preserve"> evidencing and producing the BOND for which</w:t>
      </w:r>
      <w:r w:rsidR="000251EB">
        <w:rPr>
          <w:rFonts w:cstheme="minorHAnsi"/>
          <w:sz w:val="24"/>
          <w:szCs w:val="24"/>
        </w:rPr>
        <w:t xml:space="preserve"> the CORPORATE,</w:t>
      </w:r>
      <w:r w:rsidR="00536CFE">
        <w:rPr>
          <w:rFonts w:cstheme="minorHAnsi"/>
          <w:sz w:val="24"/>
          <w:szCs w:val="24"/>
        </w:rPr>
        <w:t xml:space="preserve"> RONA</w:t>
      </w:r>
      <w:r w:rsidR="001B0221">
        <w:rPr>
          <w:rFonts w:cstheme="minorHAnsi"/>
          <w:sz w:val="24"/>
          <w:szCs w:val="24"/>
        </w:rPr>
        <w:t>LD J. SCHAFER P56466 must have o</w:t>
      </w:r>
      <w:r w:rsidR="00536CFE">
        <w:rPr>
          <w:rFonts w:cstheme="minorHAnsi"/>
          <w:sz w:val="24"/>
          <w:szCs w:val="24"/>
        </w:rPr>
        <w:t xml:space="preserve">n file.  This BOND requirement is not a matter of importance or </w:t>
      </w:r>
      <w:r w:rsidR="00F55D5B">
        <w:rPr>
          <w:rFonts w:cstheme="minorHAnsi"/>
          <w:sz w:val="24"/>
          <w:szCs w:val="24"/>
        </w:rPr>
        <w:t>necessary</w:t>
      </w:r>
      <w:r w:rsidR="00536CFE">
        <w:rPr>
          <w:rFonts w:cstheme="minorHAnsi"/>
          <w:sz w:val="24"/>
          <w:szCs w:val="24"/>
        </w:rPr>
        <w:t xml:space="preserve"> for</w:t>
      </w:r>
      <w:r w:rsidR="00F55D5B">
        <w:rPr>
          <w:rFonts w:cstheme="minorHAnsi"/>
          <w:sz w:val="24"/>
          <w:szCs w:val="24"/>
        </w:rPr>
        <w:t xml:space="preserve"> the man</w:t>
      </w:r>
      <w:r w:rsidR="00536CFE">
        <w:rPr>
          <w:rFonts w:cstheme="minorHAnsi"/>
          <w:sz w:val="24"/>
          <w:szCs w:val="24"/>
        </w:rPr>
        <w:t xml:space="preserve"> Ronald J. Schafer</w:t>
      </w:r>
      <w:r w:rsidR="00F55D5B">
        <w:rPr>
          <w:rFonts w:cstheme="minorHAnsi"/>
          <w:sz w:val="24"/>
          <w:szCs w:val="24"/>
        </w:rPr>
        <w:t xml:space="preserve"> who walked through the door when</w:t>
      </w:r>
      <w:r w:rsidR="00536CFE">
        <w:rPr>
          <w:rFonts w:cstheme="minorHAnsi"/>
          <w:sz w:val="24"/>
          <w:szCs w:val="24"/>
        </w:rPr>
        <w:t xml:space="preserve"> acting as Magistrate within</w:t>
      </w:r>
      <w:r w:rsidR="00883A6C">
        <w:rPr>
          <w:rFonts w:cstheme="minorHAnsi"/>
          <w:sz w:val="24"/>
          <w:szCs w:val="24"/>
        </w:rPr>
        <w:t xml:space="preserve"> the</w:t>
      </w:r>
      <w:r w:rsidR="00536CFE">
        <w:rPr>
          <w:rFonts w:cstheme="minorHAnsi"/>
          <w:sz w:val="24"/>
          <w:szCs w:val="24"/>
        </w:rPr>
        <w:t xml:space="preserve"> </w:t>
      </w:r>
      <w:r w:rsidR="00536CFE" w:rsidRPr="00536CFE">
        <w:rPr>
          <w:rFonts w:eastAsia="Times New Roman" w:cs="Times New Roman"/>
          <w:sz w:val="24"/>
          <w:szCs w:val="24"/>
        </w:rPr>
        <w:t xml:space="preserve">Superior Common law </w:t>
      </w:r>
      <w:r w:rsidR="00536CFE" w:rsidRPr="001B0221">
        <w:rPr>
          <w:rFonts w:eastAsia="Times New Roman" w:cs="Times New Roman"/>
          <w:sz w:val="24"/>
          <w:szCs w:val="24"/>
          <w:u w:val="single"/>
        </w:rPr>
        <w:t>Court of Record</w:t>
      </w:r>
      <w:r w:rsidR="00F55D5B" w:rsidRPr="001B0221">
        <w:rPr>
          <w:rFonts w:eastAsia="Times New Roman" w:cs="Times New Roman"/>
          <w:sz w:val="24"/>
          <w:szCs w:val="24"/>
          <w:u w:val="single"/>
        </w:rPr>
        <w:t>.</w:t>
      </w:r>
      <w:r w:rsidR="00536CFE" w:rsidRPr="001B0221">
        <w:rPr>
          <w:rFonts w:eastAsia="Times New Roman" w:cs="Times New Roman"/>
          <w:sz w:val="24"/>
          <w:szCs w:val="24"/>
          <w:u w:val="single"/>
        </w:rPr>
        <w:t xml:space="preserve"> </w:t>
      </w:r>
    </w:p>
    <w:p w:rsidR="005519EA" w:rsidRPr="004D175D" w:rsidRDefault="005519EA" w:rsidP="004D175D">
      <w:pPr>
        <w:spacing w:line="480" w:lineRule="auto"/>
        <w:jc w:val="both"/>
        <w:rPr>
          <w:rFonts w:cstheme="minorHAnsi"/>
          <w:sz w:val="24"/>
          <w:szCs w:val="24"/>
        </w:rPr>
      </w:pPr>
      <w:r>
        <w:rPr>
          <w:rFonts w:cstheme="minorHAnsi"/>
          <w:sz w:val="24"/>
          <w:szCs w:val="24"/>
        </w:rPr>
        <w:t>[BLD 4</w:t>
      </w:r>
      <w:r w:rsidRPr="00F92CC4">
        <w:rPr>
          <w:rFonts w:cstheme="minorHAnsi"/>
          <w:sz w:val="24"/>
          <w:szCs w:val="24"/>
          <w:vertAlign w:val="superscript"/>
        </w:rPr>
        <w:t>th</w:t>
      </w:r>
      <w:r>
        <w:rPr>
          <w:rFonts w:cstheme="minorHAnsi"/>
          <w:sz w:val="24"/>
          <w:szCs w:val="24"/>
        </w:rPr>
        <w:t>.] A ‘Court of Record’ is defined as, “</w:t>
      </w:r>
      <w:r w:rsidRPr="00A226E2">
        <w:t xml:space="preserve">A </w:t>
      </w:r>
      <w:r w:rsidRPr="00A226E2">
        <w:rPr>
          <w:b/>
        </w:rPr>
        <w:t>‘court of record’</w:t>
      </w:r>
      <w:r w:rsidRPr="00A226E2">
        <w:t xml:space="preserve"> is a judicial </w:t>
      </w:r>
      <w:r w:rsidRPr="00A226E2">
        <w:rPr>
          <w:b/>
        </w:rPr>
        <w:t xml:space="preserve">tribunal </w:t>
      </w:r>
      <w:r w:rsidRPr="00A226E2">
        <w:t xml:space="preserve">having attributes and exercising functions </w:t>
      </w:r>
      <w:r w:rsidRPr="00A226E2">
        <w:rPr>
          <w:b/>
          <w:u w:val="single"/>
        </w:rPr>
        <w:t>independently</w:t>
      </w:r>
      <w:r w:rsidRPr="00A226E2">
        <w:rPr>
          <w:u w:val="single"/>
        </w:rPr>
        <w:t xml:space="preserve"> of the person of the magistrate</w:t>
      </w:r>
      <w:r w:rsidRPr="00A226E2">
        <w:t xml:space="preserve"> designated generally to hold it, and proceeding according to the course of common law.”</w:t>
      </w:r>
      <w:r>
        <w:t xml:space="preserve"> </w:t>
      </w:r>
      <w:r>
        <w:tab/>
      </w:r>
      <w:r>
        <w:tab/>
      </w:r>
      <w:r>
        <w:tab/>
      </w:r>
      <w:r>
        <w:tab/>
      </w:r>
      <w:r>
        <w:tab/>
        <w:t xml:space="preserve">               </w:t>
      </w:r>
      <w:r>
        <w:tab/>
        <w:t xml:space="preserve">-  </w:t>
      </w:r>
      <w:r w:rsidRPr="00A226E2">
        <w:t>As such, only a ‘</w:t>
      </w:r>
      <w:r w:rsidR="005D0D7A">
        <w:t xml:space="preserve">magistrate’ and not a ‘judge’ in </w:t>
      </w:r>
      <w:r w:rsidRPr="00A226E2">
        <w:t xml:space="preserve">found in a Common Law ‘Court of Record’.  </w:t>
      </w:r>
    </w:p>
    <w:p w:rsidR="004D175D" w:rsidRDefault="004D175D" w:rsidP="00F55D5B">
      <w:pPr>
        <w:spacing w:after="0" w:line="480" w:lineRule="auto"/>
        <w:jc w:val="both"/>
        <w:rPr>
          <w:rFonts w:eastAsia="Times New Roman" w:cs="Times New Roman"/>
          <w:sz w:val="24"/>
          <w:szCs w:val="24"/>
        </w:rPr>
      </w:pPr>
    </w:p>
    <w:p w:rsidR="00344B76" w:rsidRDefault="00F55D5B" w:rsidP="00F55D5B">
      <w:pPr>
        <w:spacing w:after="0" w:line="480" w:lineRule="auto"/>
        <w:jc w:val="both"/>
        <w:rPr>
          <w:rFonts w:cstheme="minorHAnsi"/>
          <w:sz w:val="24"/>
          <w:szCs w:val="24"/>
        </w:rPr>
      </w:pPr>
      <w:r>
        <w:rPr>
          <w:rFonts w:cstheme="minorHAnsi"/>
          <w:sz w:val="24"/>
          <w:szCs w:val="24"/>
        </w:rPr>
        <w:t>3</w:t>
      </w:r>
      <w:r w:rsidR="000A5889">
        <w:rPr>
          <w:rFonts w:cstheme="minorHAnsi"/>
          <w:sz w:val="24"/>
          <w:szCs w:val="24"/>
        </w:rPr>
        <w:t>.]</w:t>
      </w:r>
      <w:r w:rsidR="000A5889">
        <w:rPr>
          <w:rFonts w:cstheme="minorHAnsi"/>
          <w:sz w:val="24"/>
          <w:szCs w:val="24"/>
        </w:rPr>
        <w:tab/>
        <w:t xml:space="preserve">In addition, my claim was </w:t>
      </w:r>
      <w:r w:rsidR="00883A6C">
        <w:rPr>
          <w:rFonts w:cstheme="minorHAnsi"/>
          <w:sz w:val="24"/>
          <w:szCs w:val="24"/>
        </w:rPr>
        <w:t xml:space="preserve">filed and </w:t>
      </w:r>
      <w:r w:rsidR="000A5889">
        <w:rPr>
          <w:rFonts w:cstheme="minorHAnsi"/>
          <w:sz w:val="24"/>
          <w:szCs w:val="24"/>
        </w:rPr>
        <w:t>entered</w:t>
      </w:r>
      <w:r w:rsidR="00883A6C">
        <w:rPr>
          <w:rFonts w:cstheme="minorHAnsi"/>
          <w:sz w:val="24"/>
          <w:szCs w:val="24"/>
        </w:rPr>
        <w:t xml:space="preserve"> to </w:t>
      </w:r>
      <w:proofErr w:type="gramStart"/>
      <w:r w:rsidR="00883A6C">
        <w:rPr>
          <w:rFonts w:cstheme="minorHAnsi"/>
          <w:sz w:val="24"/>
          <w:szCs w:val="24"/>
        </w:rPr>
        <w:t>established</w:t>
      </w:r>
      <w:proofErr w:type="gramEnd"/>
      <w:r w:rsidR="000A5889">
        <w:rPr>
          <w:rFonts w:cstheme="minorHAnsi"/>
          <w:sz w:val="24"/>
          <w:szCs w:val="24"/>
        </w:rPr>
        <w:t xml:space="preserve"> an “Article 3, Superior Common law Court of Record, Montcalm County Venue” </w:t>
      </w:r>
      <w:r w:rsidR="00BC33FD">
        <w:rPr>
          <w:rFonts w:cstheme="minorHAnsi"/>
          <w:sz w:val="24"/>
          <w:szCs w:val="24"/>
        </w:rPr>
        <w:t>but</w:t>
      </w:r>
      <w:r w:rsidR="00344B76">
        <w:rPr>
          <w:rFonts w:cstheme="minorHAnsi"/>
          <w:sz w:val="24"/>
          <w:szCs w:val="24"/>
        </w:rPr>
        <w:t xml:space="preserve"> it</w:t>
      </w:r>
      <w:r w:rsidR="000A5889">
        <w:rPr>
          <w:rFonts w:cstheme="minorHAnsi"/>
          <w:sz w:val="24"/>
          <w:szCs w:val="24"/>
        </w:rPr>
        <w:t xml:space="preserve"> was </w:t>
      </w:r>
      <w:r w:rsidR="000A5889" w:rsidRPr="00B658A3">
        <w:rPr>
          <w:rFonts w:cstheme="minorHAnsi"/>
          <w:b/>
          <w:sz w:val="24"/>
          <w:szCs w:val="24"/>
        </w:rPr>
        <w:t>‘altered’</w:t>
      </w:r>
      <w:r w:rsidR="000A5889">
        <w:rPr>
          <w:rFonts w:cstheme="minorHAnsi"/>
          <w:sz w:val="24"/>
          <w:szCs w:val="24"/>
        </w:rPr>
        <w:t xml:space="preserve"> by the </w:t>
      </w:r>
      <w:r w:rsidR="00344B76">
        <w:rPr>
          <w:rFonts w:cstheme="minorHAnsi"/>
          <w:sz w:val="24"/>
          <w:szCs w:val="24"/>
        </w:rPr>
        <w:t>‘</w:t>
      </w:r>
      <w:r w:rsidR="000A5889">
        <w:rPr>
          <w:rFonts w:cstheme="minorHAnsi"/>
          <w:sz w:val="24"/>
          <w:szCs w:val="24"/>
        </w:rPr>
        <w:t>Clerk of Court</w:t>
      </w:r>
      <w:r w:rsidR="00344B76">
        <w:rPr>
          <w:rFonts w:cstheme="minorHAnsi"/>
          <w:sz w:val="24"/>
          <w:szCs w:val="24"/>
        </w:rPr>
        <w:t>’</w:t>
      </w:r>
      <w:r w:rsidR="000A5889">
        <w:rPr>
          <w:rFonts w:cstheme="minorHAnsi"/>
          <w:sz w:val="24"/>
          <w:szCs w:val="24"/>
        </w:rPr>
        <w:t xml:space="preserve"> when she assigned the</w:t>
      </w:r>
      <w:r w:rsidR="008C010C">
        <w:rPr>
          <w:rFonts w:cstheme="minorHAnsi"/>
          <w:sz w:val="24"/>
          <w:szCs w:val="24"/>
        </w:rPr>
        <w:t xml:space="preserve"> Corporate</w:t>
      </w:r>
      <w:r w:rsidR="000A5889">
        <w:rPr>
          <w:rFonts w:cstheme="minorHAnsi"/>
          <w:sz w:val="24"/>
          <w:szCs w:val="24"/>
        </w:rPr>
        <w:t xml:space="preserve"> HON. RONALD J. SCHAFER as Judge. </w:t>
      </w:r>
      <w:r w:rsidR="00344B76">
        <w:rPr>
          <w:rFonts w:cstheme="minorHAnsi"/>
          <w:sz w:val="24"/>
          <w:szCs w:val="24"/>
        </w:rPr>
        <w:t xml:space="preserve">This is in violation of </w:t>
      </w:r>
      <w:r w:rsidR="00344B76" w:rsidRPr="00344B76">
        <w:rPr>
          <w:rFonts w:cstheme="minorHAnsi"/>
          <w:b/>
          <w:sz w:val="24"/>
          <w:szCs w:val="24"/>
        </w:rPr>
        <w:t xml:space="preserve">MCL 750. </w:t>
      </w:r>
      <w:proofErr w:type="gramStart"/>
      <w:r w:rsidR="00344B76" w:rsidRPr="00344B76">
        <w:rPr>
          <w:rFonts w:cstheme="minorHAnsi"/>
          <w:b/>
          <w:sz w:val="24"/>
          <w:szCs w:val="24"/>
        </w:rPr>
        <w:t>248</w:t>
      </w:r>
      <w:r w:rsidR="00344B76">
        <w:rPr>
          <w:rFonts w:cstheme="minorHAnsi"/>
          <w:b/>
          <w:sz w:val="24"/>
          <w:szCs w:val="24"/>
        </w:rPr>
        <w:t>,</w:t>
      </w:r>
      <w:r w:rsidR="00344B76">
        <w:rPr>
          <w:rFonts w:cstheme="minorHAnsi"/>
          <w:sz w:val="24"/>
          <w:szCs w:val="24"/>
        </w:rPr>
        <w:t xml:space="preserve"> a felony punishable by imprisonment for not more than 14 years.</w:t>
      </w:r>
      <w:proofErr w:type="gramEnd"/>
    </w:p>
    <w:p w:rsidR="004D175D" w:rsidRPr="00F55D5B" w:rsidRDefault="004D175D" w:rsidP="00F55D5B">
      <w:pPr>
        <w:spacing w:after="0" w:line="480" w:lineRule="auto"/>
        <w:jc w:val="both"/>
        <w:rPr>
          <w:rFonts w:eastAsia="Times New Roman" w:cs="Times New Roman"/>
          <w:sz w:val="24"/>
          <w:szCs w:val="24"/>
        </w:rPr>
      </w:pPr>
    </w:p>
    <w:p w:rsidR="004D175D" w:rsidRDefault="00F55D5B" w:rsidP="00105FCC">
      <w:pPr>
        <w:spacing w:line="480" w:lineRule="auto"/>
        <w:jc w:val="both"/>
        <w:rPr>
          <w:rFonts w:cstheme="minorHAnsi"/>
          <w:sz w:val="24"/>
          <w:szCs w:val="24"/>
        </w:rPr>
      </w:pPr>
      <w:r>
        <w:rPr>
          <w:rFonts w:cstheme="minorHAnsi"/>
          <w:sz w:val="24"/>
          <w:szCs w:val="24"/>
        </w:rPr>
        <w:t>4</w:t>
      </w:r>
      <w:r w:rsidR="00F92CC4">
        <w:rPr>
          <w:rFonts w:cstheme="minorHAnsi"/>
          <w:sz w:val="24"/>
          <w:szCs w:val="24"/>
        </w:rPr>
        <w:t>.]</w:t>
      </w:r>
      <w:r w:rsidR="00F92CC4">
        <w:rPr>
          <w:rFonts w:cstheme="minorHAnsi"/>
          <w:sz w:val="24"/>
          <w:szCs w:val="24"/>
        </w:rPr>
        <w:tab/>
      </w:r>
      <w:r w:rsidR="000A5889">
        <w:rPr>
          <w:rFonts w:cstheme="minorHAnsi"/>
          <w:sz w:val="24"/>
          <w:szCs w:val="24"/>
        </w:rPr>
        <w:t xml:space="preserve"> An Article 3 Court does not allow </w:t>
      </w:r>
      <w:r w:rsidR="00BC33FD">
        <w:rPr>
          <w:rFonts w:cstheme="minorHAnsi"/>
          <w:sz w:val="24"/>
          <w:szCs w:val="24"/>
        </w:rPr>
        <w:t xml:space="preserve">for </w:t>
      </w:r>
      <w:r w:rsidR="000A5889">
        <w:rPr>
          <w:rFonts w:cstheme="minorHAnsi"/>
          <w:sz w:val="24"/>
          <w:szCs w:val="24"/>
        </w:rPr>
        <w:t xml:space="preserve">a PROFESSIONAL CORPORATION to </w:t>
      </w:r>
      <w:r w:rsidR="00344B76">
        <w:rPr>
          <w:rFonts w:cstheme="minorHAnsi"/>
          <w:sz w:val="24"/>
          <w:szCs w:val="24"/>
        </w:rPr>
        <w:t>‘</w:t>
      </w:r>
      <w:r w:rsidR="000A5889">
        <w:rPr>
          <w:rFonts w:cstheme="minorHAnsi"/>
          <w:sz w:val="24"/>
          <w:szCs w:val="24"/>
        </w:rPr>
        <w:t>act judicial</w:t>
      </w:r>
      <w:r w:rsidR="00344B76">
        <w:rPr>
          <w:rFonts w:cstheme="minorHAnsi"/>
          <w:sz w:val="24"/>
          <w:szCs w:val="24"/>
        </w:rPr>
        <w:t>’</w:t>
      </w:r>
      <w:r w:rsidR="000A5889">
        <w:rPr>
          <w:rFonts w:cstheme="minorHAnsi"/>
          <w:sz w:val="24"/>
          <w:szCs w:val="24"/>
        </w:rPr>
        <w:t xml:space="preserve"> or </w:t>
      </w:r>
      <w:r>
        <w:rPr>
          <w:rFonts w:cstheme="minorHAnsi"/>
          <w:sz w:val="24"/>
          <w:szCs w:val="24"/>
        </w:rPr>
        <w:t xml:space="preserve">an ‘Attorney at Law’ </w:t>
      </w:r>
      <w:r w:rsidR="000A5889">
        <w:rPr>
          <w:rFonts w:cstheme="minorHAnsi"/>
          <w:sz w:val="24"/>
          <w:szCs w:val="24"/>
        </w:rPr>
        <w:t>to represent a ‘Party’ in it</w:t>
      </w:r>
      <w:r w:rsidR="00F92CC4">
        <w:rPr>
          <w:rFonts w:cstheme="minorHAnsi"/>
          <w:sz w:val="24"/>
          <w:szCs w:val="24"/>
        </w:rPr>
        <w:t xml:space="preserve"> [MCL 450. 681]</w:t>
      </w:r>
      <w:r w:rsidR="000A5889">
        <w:rPr>
          <w:rFonts w:cstheme="minorHAnsi"/>
          <w:sz w:val="24"/>
          <w:szCs w:val="24"/>
        </w:rPr>
        <w:t>,</w:t>
      </w:r>
      <w:r w:rsidR="00F77501">
        <w:rPr>
          <w:rFonts w:cstheme="minorHAnsi"/>
          <w:sz w:val="24"/>
          <w:szCs w:val="24"/>
        </w:rPr>
        <w:t xml:space="preserve"> it</w:t>
      </w:r>
      <w:r w:rsidR="000A5889">
        <w:rPr>
          <w:rFonts w:cstheme="minorHAnsi"/>
          <w:sz w:val="24"/>
          <w:szCs w:val="24"/>
        </w:rPr>
        <w:t xml:space="preserve"> </w:t>
      </w:r>
      <w:r w:rsidR="00F92CC4">
        <w:rPr>
          <w:rFonts w:cstheme="minorHAnsi"/>
          <w:sz w:val="24"/>
          <w:szCs w:val="24"/>
        </w:rPr>
        <w:t>grants</w:t>
      </w:r>
      <w:r w:rsidR="000A5889">
        <w:rPr>
          <w:rFonts w:cstheme="minorHAnsi"/>
          <w:sz w:val="24"/>
          <w:szCs w:val="24"/>
        </w:rPr>
        <w:t xml:space="preserve"> only the State</w:t>
      </w:r>
      <w:r w:rsidR="00BC33FD">
        <w:rPr>
          <w:rFonts w:cstheme="minorHAnsi"/>
          <w:sz w:val="24"/>
          <w:szCs w:val="24"/>
        </w:rPr>
        <w:t>s</w:t>
      </w:r>
      <w:r w:rsidR="000A5889">
        <w:rPr>
          <w:rFonts w:cstheme="minorHAnsi"/>
          <w:sz w:val="24"/>
          <w:szCs w:val="24"/>
        </w:rPr>
        <w:t xml:space="preserve"> or Citizens</w:t>
      </w:r>
      <w:r w:rsidR="00BC33FD">
        <w:rPr>
          <w:rFonts w:cstheme="minorHAnsi"/>
          <w:sz w:val="24"/>
          <w:szCs w:val="24"/>
        </w:rPr>
        <w:t xml:space="preserve"> </w:t>
      </w:r>
      <w:r w:rsidR="00F92CC4">
        <w:rPr>
          <w:rFonts w:cstheme="minorHAnsi"/>
          <w:sz w:val="24"/>
          <w:szCs w:val="24"/>
        </w:rPr>
        <w:t>as</w:t>
      </w:r>
      <w:r w:rsidR="00BC33FD">
        <w:rPr>
          <w:rFonts w:cstheme="minorHAnsi"/>
          <w:sz w:val="24"/>
          <w:szCs w:val="24"/>
        </w:rPr>
        <w:t xml:space="preserve"> be</w:t>
      </w:r>
      <w:r w:rsidR="00F92CC4">
        <w:rPr>
          <w:rFonts w:cstheme="minorHAnsi"/>
          <w:sz w:val="24"/>
          <w:szCs w:val="24"/>
        </w:rPr>
        <w:t>ing</w:t>
      </w:r>
      <w:r w:rsidR="00BC33FD">
        <w:rPr>
          <w:rFonts w:cstheme="minorHAnsi"/>
          <w:sz w:val="24"/>
          <w:szCs w:val="24"/>
        </w:rPr>
        <w:t xml:space="preserve"> a party</w:t>
      </w:r>
      <w:r w:rsidR="00344B76">
        <w:rPr>
          <w:rFonts w:cstheme="minorHAnsi"/>
          <w:sz w:val="24"/>
          <w:szCs w:val="24"/>
        </w:rPr>
        <w:t>.</w:t>
      </w:r>
      <w:r w:rsidR="00F92CC4">
        <w:rPr>
          <w:rFonts w:cstheme="minorHAnsi"/>
          <w:sz w:val="24"/>
          <w:szCs w:val="24"/>
        </w:rPr>
        <w:t xml:space="preserve">  </w:t>
      </w:r>
      <w:r w:rsidR="000251EB">
        <w:rPr>
          <w:rFonts w:cstheme="minorHAnsi"/>
          <w:sz w:val="24"/>
          <w:szCs w:val="24"/>
        </w:rPr>
        <w:t>This is consistent with MCR 6.003 where only a Lawyer is allowed to represent a ‘party’ in law, not ‘at law’.</w:t>
      </w:r>
      <w:r w:rsidR="008C010C">
        <w:rPr>
          <w:rFonts w:cstheme="minorHAnsi"/>
          <w:sz w:val="24"/>
          <w:szCs w:val="24"/>
        </w:rPr>
        <w:t xml:space="preserve">  This is in accordance with </w:t>
      </w:r>
      <w:r w:rsidR="008C010C" w:rsidRPr="00DA681D">
        <w:rPr>
          <w:rFonts w:cstheme="minorHAnsi"/>
          <w:b/>
          <w:sz w:val="24"/>
          <w:szCs w:val="24"/>
        </w:rPr>
        <w:t>MCR 6.001 (E) Rules and Statutes Superseded,</w:t>
      </w:r>
      <w:r w:rsidR="008C010C">
        <w:rPr>
          <w:rFonts w:cstheme="minorHAnsi"/>
          <w:sz w:val="24"/>
          <w:szCs w:val="24"/>
        </w:rPr>
        <w:t xml:space="preserve"> which states, “The rules in this chapter supersede all prior court rules in this chapter and </w:t>
      </w:r>
      <w:r w:rsidR="008C010C" w:rsidRPr="00883A6C">
        <w:rPr>
          <w:rFonts w:cstheme="minorHAnsi"/>
          <w:b/>
          <w:sz w:val="24"/>
          <w:szCs w:val="24"/>
          <w:u w:val="single"/>
        </w:rPr>
        <w:t>any</w:t>
      </w:r>
      <w:r w:rsidR="008C010C" w:rsidRPr="00DA681D">
        <w:rPr>
          <w:rFonts w:cstheme="minorHAnsi"/>
          <w:sz w:val="24"/>
          <w:szCs w:val="24"/>
          <w:u w:val="single"/>
        </w:rPr>
        <w:t xml:space="preserve"> statutory procedure pertaining to</w:t>
      </w:r>
      <w:r w:rsidR="008C010C">
        <w:rPr>
          <w:rFonts w:cstheme="minorHAnsi"/>
          <w:sz w:val="24"/>
          <w:szCs w:val="24"/>
        </w:rPr>
        <w:t xml:space="preserve"> and inconsistent with a procedure provided by a rule in this chapter.</w:t>
      </w:r>
      <w:r w:rsidR="00DA681D">
        <w:rPr>
          <w:rFonts w:cstheme="minorHAnsi"/>
          <w:sz w:val="24"/>
          <w:szCs w:val="24"/>
        </w:rPr>
        <w:t>”</w:t>
      </w:r>
      <w:bookmarkStart w:id="0" w:name="_GoBack"/>
      <w:bookmarkEnd w:id="0"/>
    </w:p>
    <w:p w:rsidR="00B658A3" w:rsidRPr="00DA681D" w:rsidRDefault="00B658A3" w:rsidP="00DA681D">
      <w:pPr>
        <w:spacing w:line="480" w:lineRule="auto"/>
        <w:jc w:val="both"/>
      </w:pPr>
      <w:r w:rsidRPr="00342939">
        <w:rPr>
          <w:sz w:val="24"/>
          <w:szCs w:val="24"/>
        </w:rPr>
        <w:lastRenderedPageBreak/>
        <w:t>“I declare that the statements above are true to the best of my information, knowledge, and belief.”</w:t>
      </w:r>
      <w:r w:rsidRPr="00342939">
        <w:rPr>
          <w:sz w:val="24"/>
          <w:szCs w:val="24"/>
        </w:rPr>
        <w:tab/>
      </w:r>
      <w:r w:rsidRPr="00342939">
        <w:rPr>
          <w:sz w:val="24"/>
          <w:szCs w:val="24"/>
        </w:rPr>
        <w:tab/>
      </w:r>
      <w:r w:rsidRPr="00342939">
        <w:rPr>
          <w:sz w:val="24"/>
          <w:szCs w:val="24"/>
        </w:rPr>
        <w:tab/>
        <w:t xml:space="preserve">                 </w:t>
      </w:r>
    </w:p>
    <w:p w:rsidR="00B658A3" w:rsidRPr="00342939" w:rsidRDefault="00B658A3" w:rsidP="00B658A3">
      <w:pPr>
        <w:pStyle w:val="NoSpacing"/>
        <w:rPr>
          <w:sz w:val="24"/>
          <w:szCs w:val="24"/>
        </w:rPr>
      </w:pP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t xml:space="preserve"> By</w:t>
      </w:r>
      <w:proofErr w:type="gramStart"/>
      <w:r w:rsidRPr="00342939">
        <w:rPr>
          <w:sz w:val="24"/>
          <w:szCs w:val="24"/>
        </w:rPr>
        <w:t>:_</w:t>
      </w:r>
      <w:proofErr w:type="gramEnd"/>
      <w:r w:rsidRPr="00342939">
        <w:rPr>
          <w:sz w:val="24"/>
          <w:szCs w:val="24"/>
        </w:rPr>
        <w:t>________________</w:t>
      </w:r>
      <w:r w:rsidRPr="00342939">
        <w:rPr>
          <w:sz w:val="24"/>
          <w:szCs w:val="24"/>
        </w:rPr>
        <w:softHyphen/>
      </w:r>
      <w:r w:rsidRPr="00342939">
        <w:rPr>
          <w:sz w:val="24"/>
          <w:szCs w:val="24"/>
        </w:rPr>
        <w:softHyphen/>
      </w:r>
      <w:r w:rsidRPr="00342939">
        <w:rPr>
          <w:sz w:val="24"/>
          <w:szCs w:val="24"/>
        </w:rPr>
        <w:softHyphen/>
        <w:t>______________________________, Auth. Rep.</w:t>
      </w: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r>
      <w:r w:rsidRPr="00342939">
        <w:rPr>
          <w:sz w:val="24"/>
          <w:szCs w:val="24"/>
        </w:rPr>
        <w:tab/>
        <w:t xml:space="preserve">     Andrew Stuart Ouwenga, Sui Juris, Affiant, </w:t>
      </w: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r>
      <w:r w:rsidRPr="00342939">
        <w:rPr>
          <w:sz w:val="24"/>
          <w:szCs w:val="24"/>
        </w:rPr>
        <w:tab/>
        <w:t xml:space="preserve">     Secured Party Creditor, Attorney in fact, </w:t>
      </w: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t xml:space="preserve">       </w:t>
      </w:r>
      <w:r w:rsidRPr="00342939">
        <w:rPr>
          <w:sz w:val="24"/>
          <w:szCs w:val="24"/>
        </w:rPr>
        <w:tab/>
        <w:t xml:space="preserve">     Michigan National</w:t>
      </w:r>
      <w:r w:rsidRPr="00342939">
        <w:rPr>
          <w:sz w:val="24"/>
          <w:szCs w:val="24"/>
        </w:rPr>
        <w:tab/>
        <w:t xml:space="preserve">                                  </w:t>
      </w: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r>
      <w:r w:rsidRPr="00342939">
        <w:rPr>
          <w:sz w:val="24"/>
          <w:szCs w:val="24"/>
        </w:rPr>
        <w:tab/>
      </w:r>
      <w:r w:rsidRPr="00342939">
        <w:rPr>
          <w:sz w:val="24"/>
          <w:szCs w:val="24"/>
        </w:rPr>
        <w:tab/>
        <w:t xml:space="preserve">        </w:t>
      </w:r>
      <w:r w:rsidRPr="00342939">
        <w:rPr>
          <w:sz w:val="24"/>
          <w:szCs w:val="24"/>
        </w:rPr>
        <w:tab/>
      </w:r>
      <w:r w:rsidRPr="00342939">
        <w:rPr>
          <w:sz w:val="24"/>
          <w:szCs w:val="24"/>
        </w:rPr>
        <w:tab/>
      </w:r>
      <w:r w:rsidRPr="00342939">
        <w:rPr>
          <w:sz w:val="24"/>
          <w:szCs w:val="24"/>
        </w:rPr>
        <w:tab/>
        <w:t xml:space="preserve">Mailing Address:  </w:t>
      </w: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r>
      <w:r w:rsidRPr="00342939">
        <w:rPr>
          <w:sz w:val="24"/>
          <w:szCs w:val="24"/>
        </w:rPr>
        <w:tab/>
      </w:r>
      <w:r w:rsidRPr="00342939">
        <w:rPr>
          <w:sz w:val="24"/>
          <w:szCs w:val="24"/>
        </w:rPr>
        <w:tab/>
      </w:r>
      <w:r w:rsidRPr="00342939">
        <w:rPr>
          <w:sz w:val="24"/>
          <w:szCs w:val="24"/>
        </w:rPr>
        <w:tab/>
      </w:r>
      <w:r w:rsidRPr="00342939">
        <w:rPr>
          <w:sz w:val="24"/>
          <w:szCs w:val="24"/>
        </w:rPr>
        <w:tab/>
      </w:r>
      <w:r w:rsidRPr="00342939">
        <w:rPr>
          <w:sz w:val="24"/>
          <w:szCs w:val="24"/>
        </w:rPr>
        <w:tab/>
        <w:t>c/o: 10213 Dagget Rd.</w:t>
      </w:r>
      <w:r w:rsidRPr="00342939">
        <w:rPr>
          <w:sz w:val="24"/>
          <w:szCs w:val="24"/>
        </w:rPr>
        <w:tab/>
      </w:r>
      <w:r w:rsidRPr="00342939">
        <w:rPr>
          <w:sz w:val="24"/>
          <w:szCs w:val="24"/>
        </w:rPr>
        <w:tab/>
      </w:r>
    </w:p>
    <w:p w:rsidR="00B658A3" w:rsidRPr="00342939" w:rsidRDefault="00B658A3" w:rsidP="00B658A3">
      <w:pPr>
        <w:pStyle w:val="NoSpacing"/>
        <w:rPr>
          <w:sz w:val="24"/>
          <w:szCs w:val="24"/>
        </w:rPr>
      </w:pPr>
      <w:r w:rsidRPr="00342939">
        <w:rPr>
          <w:sz w:val="24"/>
          <w:szCs w:val="24"/>
        </w:rPr>
        <w:tab/>
      </w:r>
      <w:r w:rsidRPr="00342939">
        <w:rPr>
          <w:sz w:val="24"/>
          <w:szCs w:val="24"/>
        </w:rPr>
        <w:tab/>
      </w:r>
      <w:r w:rsidRPr="00342939">
        <w:rPr>
          <w:sz w:val="24"/>
          <w:szCs w:val="24"/>
        </w:rPr>
        <w:tab/>
      </w:r>
      <w:r w:rsidRPr="00342939">
        <w:rPr>
          <w:sz w:val="24"/>
          <w:szCs w:val="24"/>
        </w:rPr>
        <w:tab/>
        <w:t xml:space="preserve">         </w:t>
      </w:r>
      <w:r w:rsidRPr="00342939">
        <w:rPr>
          <w:sz w:val="24"/>
          <w:szCs w:val="24"/>
        </w:rPr>
        <w:tab/>
      </w:r>
      <w:r w:rsidRPr="00342939">
        <w:rPr>
          <w:sz w:val="24"/>
          <w:szCs w:val="24"/>
        </w:rPr>
        <w:tab/>
      </w:r>
      <w:r w:rsidRPr="00342939">
        <w:rPr>
          <w:sz w:val="24"/>
          <w:szCs w:val="24"/>
        </w:rPr>
        <w:tab/>
      </w:r>
      <w:r w:rsidRPr="00342939">
        <w:rPr>
          <w:sz w:val="24"/>
          <w:szCs w:val="24"/>
        </w:rPr>
        <w:tab/>
        <w:t>Howard City, Michigan [49329]</w:t>
      </w:r>
    </w:p>
    <w:p w:rsidR="00B658A3" w:rsidRPr="00342939" w:rsidRDefault="00B658A3" w:rsidP="00B658A3">
      <w:pPr>
        <w:pStyle w:val="NoSpacing"/>
        <w:rPr>
          <w:rFonts w:cs="Times New Roman"/>
          <w:sz w:val="24"/>
          <w:szCs w:val="24"/>
        </w:rPr>
      </w:pPr>
      <w:r w:rsidRPr="00342939">
        <w:rPr>
          <w:rFonts w:cs="Times New Roman"/>
          <w:sz w:val="24"/>
          <w:szCs w:val="24"/>
        </w:rPr>
        <w:t>Cc: Reynolds Township Board Members, Sui juris.</w:t>
      </w:r>
    </w:p>
    <w:p w:rsidR="00B658A3" w:rsidRPr="00342939" w:rsidRDefault="00B658A3" w:rsidP="00B658A3">
      <w:pPr>
        <w:pStyle w:val="NoSpacing"/>
        <w:rPr>
          <w:rFonts w:cs="Times New Roman"/>
          <w:sz w:val="24"/>
          <w:szCs w:val="24"/>
        </w:rPr>
      </w:pPr>
      <w:r w:rsidRPr="00342939">
        <w:rPr>
          <w:sz w:val="24"/>
          <w:szCs w:val="24"/>
        </w:rPr>
        <w:tab/>
      </w:r>
      <w:r w:rsidRPr="00342939">
        <w:rPr>
          <w:rFonts w:cs="Times New Roman"/>
          <w:sz w:val="24"/>
          <w:szCs w:val="24"/>
        </w:rPr>
        <w:t>c/o: 215 E. Edgerton St.</w:t>
      </w:r>
    </w:p>
    <w:p w:rsidR="00B658A3" w:rsidRPr="00C15DA7" w:rsidRDefault="00B658A3" w:rsidP="00B658A3">
      <w:pPr>
        <w:pStyle w:val="NoSpacing"/>
        <w:rPr>
          <w:rFonts w:cs="Times New Roman"/>
          <w:sz w:val="24"/>
          <w:szCs w:val="24"/>
        </w:rPr>
      </w:pPr>
      <w:r w:rsidRPr="00342939">
        <w:rPr>
          <w:rFonts w:ascii="Calibri" w:hAnsi="Calibri" w:cs="Calibri"/>
          <w:sz w:val="24"/>
          <w:szCs w:val="24"/>
        </w:rPr>
        <w:tab/>
      </w:r>
      <w:r w:rsidRPr="00342939">
        <w:rPr>
          <w:rFonts w:cs="Times New Roman"/>
          <w:sz w:val="24"/>
          <w:szCs w:val="24"/>
        </w:rPr>
        <w:t>Howard City, Mich. [49329]</w:t>
      </w:r>
      <w:r w:rsidRPr="00342939">
        <w:rPr>
          <w:rFonts w:ascii="Calibri" w:hAnsi="Calibri" w:cs="Calibri"/>
          <w:sz w:val="24"/>
          <w:szCs w:val="24"/>
        </w:rPr>
        <w:tab/>
      </w:r>
      <w:r w:rsidRPr="00342939">
        <w:rPr>
          <w:rFonts w:ascii="Calibri" w:hAnsi="Calibri" w:cs="Calibri"/>
          <w:sz w:val="24"/>
          <w:szCs w:val="24"/>
        </w:rPr>
        <w:tab/>
      </w:r>
      <w:r w:rsidRPr="00342939">
        <w:rPr>
          <w:rFonts w:ascii="Calibri" w:hAnsi="Calibri" w:cs="Calibri"/>
          <w:sz w:val="24"/>
          <w:szCs w:val="24"/>
        </w:rPr>
        <w:tab/>
      </w:r>
      <w:r w:rsidRPr="00342939">
        <w:rPr>
          <w:rFonts w:ascii="Calibri" w:hAnsi="Calibri" w:cs="Calibri"/>
          <w:sz w:val="24"/>
          <w:szCs w:val="24"/>
        </w:rPr>
        <w:tab/>
      </w:r>
      <w:r w:rsidRPr="00342939">
        <w:rPr>
          <w:rFonts w:cs="Times New Roman"/>
          <w:sz w:val="24"/>
          <w:szCs w:val="24"/>
        </w:rPr>
        <w:t>Common Law Right</w:t>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r>
      <w:r w:rsidRPr="00342939">
        <w:rPr>
          <w:rFonts w:cs="Times New Roman"/>
          <w:sz w:val="24"/>
          <w:szCs w:val="24"/>
        </w:rPr>
        <w:tab/>
        <w:t xml:space="preserve"> </w:t>
      </w:r>
      <w:r w:rsidRPr="00342939">
        <w:rPr>
          <w:rFonts w:cs="Times New Roman"/>
          <w:sz w:val="24"/>
          <w:szCs w:val="24"/>
        </w:rPr>
        <w:tab/>
        <w:t>Thumb Print Seal: -- &gt;</w:t>
      </w:r>
    </w:p>
    <w:p w:rsidR="00B658A3" w:rsidRDefault="00B658A3" w:rsidP="00105FCC">
      <w:pPr>
        <w:spacing w:line="480" w:lineRule="auto"/>
        <w:jc w:val="both"/>
      </w:pPr>
    </w:p>
    <w:sectPr w:rsidR="00B658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F8" w:rsidRDefault="004170F8" w:rsidP="00B658A3">
      <w:pPr>
        <w:spacing w:after="0" w:line="240" w:lineRule="auto"/>
      </w:pPr>
      <w:r>
        <w:separator/>
      </w:r>
    </w:p>
  </w:endnote>
  <w:endnote w:type="continuationSeparator" w:id="0">
    <w:p w:rsidR="004170F8" w:rsidRDefault="004170F8" w:rsidP="00B6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A3" w:rsidRDefault="004D17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Request for ‘In Camera Hearing’ to secure an Article 3 Court Hearing</w:t>
    </w:r>
    <w:r w:rsidR="00B658A3">
      <w:rPr>
        <w:rFonts w:asciiTheme="majorHAnsi" w:eastAsiaTheme="majorEastAsia" w:hAnsiTheme="majorHAnsi" w:cstheme="majorBidi"/>
      </w:rPr>
      <w:ptab w:relativeTo="margin" w:alignment="right" w:leader="none"/>
    </w:r>
    <w:r w:rsidR="00B658A3">
      <w:rPr>
        <w:rFonts w:asciiTheme="majorHAnsi" w:eastAsiaTheme="majorEastAsia" w:hAnsiTheme="majorHAnsi" w:cstheme="majorBidi"/>
      </w:rPr>
      <w:t xml:space="preserve">Page </w:t>
    </w:r>
    <w:r w:rsidR="00B658A3">
      <w:rPr>
        <w:rFonts w:eastAsiaTheme="minorEastAsia"/>
      </w:rPr>
      <w:fldChar w:fldCharType="begin"/>
    </w:r>
    <w:r w:rsidR="00B658A3">
      <w:instrText xml:space="preserve"> PAGE   \* MERGEFORMAT </w:instrText>
    </w:r>
    <w:r w:rsidR="00B658A3">
      <w:rPr>
        <w:rFonts w:eastAsiaTheme="minorEastAsia"/>
      </w:rPr>
      <w:fldChar w:fldCharType="separate"/>
    </w:r>
    <w:r w:rsidR="00883A6C" w:rsidRPr="00883A6C">
      <w:rPr>
        <w:rFonts w:asciiTheme="majorHAnsi" w:eastAsiaTheme="majorEastAsia" w:hAnsiTheme="majorHAnsi" w:cstheme="majorBidi"/>
        <w:noProof/>
      </w:rPr>
      <w:t>2</w:t>
    </w:r>
    <w:r w:rsidR="00B658A3">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1B0221">
      <w:rPr>
        <w:rFonts w:asciiTheme="majorHAnsi" w:eastAsiaTheme="majorEastAsia" w:hAnsiTheme="majorHAnsi" w:cstheme="majorBidi"/>
        <w:noProof/>
      </w:rPr>
      <w:t>3</w:t>
    </w:r>
  </w:p>
  <w:p w:rsidR="00B658A3" w:rsidRDefault="00B65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F8" w:rsidRDefault="004170F8" w:rsidP="00B658A3">
      <w:pPr>
        <w:spacing w:after="0" w:line="240" w:lineRule="auto"/>
      </w:pPr>
      <w:r>
        <w:separator/>
      </w:r>
    </w:p>
  </w:footnote>
  <w:footnote w:type="continuationSeparator" w:id="0">
    <w:p w:rsidR="004170F8" w:rsidRDefault="004170F8" w:rsidP="00B65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91"/>
    <w:rsid w:val="000251EB"/>
    <w:rsid w:val="000A5889"/>
    <w:rsid w:val="00105FCC"/>
    <w:rsid w:val="001B0221"/>
    <w:rsid w:val="00344B76"/>
    <w:rsid w:val="0038476B"/>
    <w:rsid w:val="00403691"/>
    <w:rsid w:val="004170F8"/>
    <w:rsid w:val="004523BF"/>
    <w:rsid w:val="004D175D"/>
    <w:rsid w:val="00536CFE"/>
    <w:rsid w:val="005519EA"/>
    <w:rsid w:val="005D0D7A"/>
    <w:rsid w:val="00883A6C"/>
    <w:rsid w:val="008C010C"/>
    <w:rsid w:val="00B410BF"/>
    <w:rsid w:val="00B658A3"/>
    <w:rsid w:val="00BA600F"/>
    <w:rsid w:val="00BC33FD"/>
    <w:rsid w:val="00DA681D"/>
    <w:rsid w:val="00EA5279"/>
    <w:rsid w:val="00F55D5B"/>
    <w:rsid w:val="00F77501"/>
    <w:rsid w:val="00F9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FCC"/>
    <w:pPr>
      <w:spacing w:after="0" w:line="240" w:lineRule="auto"/>
    </w:pPr>
  </w:style>
  <w:style w:type="paragraph" w:styleId="Header">
    <w:name w:val="header"/>
    <w:basedOn w:val="Normal"/>
    <w:link w:val="HeaderChar"/>
    <w:uiPriority w:val="99"/>
    <w:unhideWhenUsed/>
    <w:rsid w:val="00B6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A3"/>
  </w:style>
  <w:style w:type="paragraph" w:styleId="Footer">
    <w:name w:val="footer"/>
    <w:basedOn w:val="Normal"/>
    <w:link w:val="FooterChar"/>
    <w:uiPriority w:val="99"/>
    <w:unhideWhenUsed/>
    <w:rsid w:val="00B6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A3"/>
  </w:style>
  <w:style w:type="paragraph" w:styleId="BalloonText">
    <w:name w:val="Balloon Text"/>
    <w:basedOn w:val="Normal"/>
    <w:link w:val="BalloonTextChar"/>
    <w:uiPriority w:val="99"/>
    <w:semiHidden/>
    <w:unhideWhenUsed/>
    <w:rsid w:val="00B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FCC"/>
    <w:pPr>
      <w:spacing w:after="0" w:line="240" w:lineRule="auto"/>
    </w:pPr>
  </w:style>
  <w:style w:type="paragraph" w:styleId="Header">
    <w:name w:val="header"/>
    <w:basedOn w:val="Normal"/>
    <w:link w:val="HeaderChar"/>
    <w:uiPriority w:val="99"/>
    <w:unhideWhenUsed/>
    <w:rsid w:val="00B6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A3"/>
  </w:style>
  <w:style w:type="paragraph" w:styleId="Footer">
    <w:name w:val="footer"/>
    <w:basedOn w:val="Normal"/>
    <w:link w:val="FooterChar"/>
    <w:uiPriority w:val="99"/>
    <w:unhideWhenUsed/>
    <w:rsid w:val="00B6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A3"/>
  </w:style>
  <w:style w:type="paragraph" w:styleId="BalloonText">
    <w:name w:val="Balloon Text"/>
    <w:basedOn w:val="Normal"/>
    <w:link w:val="BalloonTextChar"/>
    <w:uiPriority w:val="99"/>
    <w:semiHidden/>
    <w:unhideWhenUsed/>
    <w:rsid w:val="00B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9</cp:revision>
  <dcterms:created xsi:type="dcterms:W3CDTF">2017-05-18T22:01:00Z</dcterms:created>
  <dcterms:modified xsi:type="dcterms:W3CDTF">2017-05-19T19:45:00Z</dcterms:modified>
</cp:coreProperties>
</file>